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9478249" w:displacedByCustomXml="next"/>
    <w:sdt>
      <w:sdtPr>
        <w:rPr>
          <w:rFonts w:eastAsiaTheme="minorHAnsi"/>
        </w:rPr>
        <w:id w:val="-1205712432"/>
        <w:docPartObj>
          <w:docPartGallery w:val="Cover Pages"/>
          <w:docPartUnique/>
        </w:docPartObj>
      </w:sdtPr>
      <w:sdtEndPr/>
      <w:sdtContent>
        <w:p w14:paraId="0FFBEE89" w14:textId="40AAADA6" w:rsidR="00B307FE" w:rsidRDefault="00B307FE">
          <w:pPr>
            <w:pStyle w:val="NoSpacing"/>
          </w:pPr>
          <w:r>
            <w:rPr>
              <w:noProof/>
            </w:rPr>
            <mc:AlternateContent>
              <mc:Choice Requires="wpg">
                <w:drawing>
                  <wp:anchor distT="0" distB="0" distL="114300" distR="114300" simplePos="0" relativeHeight="251659264" behindDoc="1" locked="0" layoutInCell="1" allowOverlap="1" wp14:anchorId="4EFAC5DA" wp14:editId="05850BFF">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1-08-09T00:00:00Z">
                                      <w:dateFormat w:val="M/d/yyyy"/>
                                      <w:lid w:val="en-US"/>
                                      <w:storeMappedDataAs w:val="dateTime"/>
                                      <w:calendar w:val="gregorian"/>
                                    </w:date>
                                  </w:sdtPr>
                                  <w:sdtEndPr/>
                                  <w:sdtContent>
                                    <w:p w14:paraId="56C1EDF3" w14:textId="1178301A" w:rsidR="00B307FE" w:rsidRDefault="005442CE">
                                      <w:pPr>
                                        <w:pStyle w:val="NoSpacing"/>
                                        <w:jc w:val="right"/>
                                        <w:rPr>
                                          <w:color w:val="FFFFFF" w:themeColor="background1"/>
                                          <w:sz w:val="28"/>
                                          <w:szCs w:val="28"/>
                                        </w:rPr>
                                      </w:pPr>
                                      <w:r>
                                        <w:rPr>
                                          <w:color w:val="FFFFFF" w:themeColor="background1"/>
                                          <w:sz w:val="28"/>
                                          <w:szCs w:val="28"/>
                                        </w:rPr>
                                        <w:t>8/9/2021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EFAC5DA"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1-08-09T00:00:00Z">
                                <w:dateFormat w:val="M/d/yyyy"/>
                                <w:lid w:val="en-US"/>
                                <w:storeMappedDataAs w:val="dateTime"/>
                                <w:calendar w:val="gregorian"/>
                              </w:date>
                            </w:sdtPr>
                            <w:sdtContent>
                              <w:p w14:paraId="56C1EDF3" w14:textId="1178301A" w:rsidR="00B307FE" w:rsidRDefault="005442CE">
                                <w:pPr>
                                  <w:pStyle w:val="NoSpacing"/>
                                  <w:jc w:val="right"/>
                                  <w:rPr>
                                    <w:color w:val="FFFFFF" w:themeColor="background1"/>
                                    <w:sz w:val="28"/>
                                    <w:szCs w:val="28"/>
                                  </w:rPr>
                                </w:pPr>
                                <w:r>
                                  <w:rPr>
                                    <w:color w:val="FFFFFF" w:themeColor="background1"/>
                                    <w:sz w:val="28"/>
                                    <w:szCs w:val="28"/>
                                  </w:rPr>
                                  <w:t>8/9/2021</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C29FA45" wp14:editId="51731197">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3DE8A" w14:textId="39ECA33E" w:rsidR="00B307FE" w:rsidRDefault="000710F8">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B307FE">
                                      <w:rPr>
                                        <w:color w:val="4472C4" w:themeColor="accent1"/>
                                        <w:sz w:val="26"/>
                                        <w:szCs w:val="26"/>
                                      </w:rPr>
                                      <w:t>Jaea</w:t>
                                    </w:r>
                                    <w:r w:rsidR="00283947">
                                      <w:rPr>
                                        <w:color w:val="4472C4" w:themeColor="accent1"/>
                                        <w:sz w:val="26"/>
                                        <w:szCs w:val="26"/>
                                      </w:rPr>
                                      <w:t xml:space="preserve"> Huntley</w:t>
                                    </w:r>
                                    <w:r w:rsidR="00B307FE">
                                      <w:rPr>
                                        <w:color w:val="4472C4" w:themeColor="accent1"/>
                                        <w:sz w:val="26"/>
                                        <w:szCs w:val="26"/>
                                      </w:rPr>
                                      <w:t xml:space="preserve"> Compton</w:t>
                                    </w:r>
                                  </w:sdtContent>
                                </w:sdt>
                              </w:p>
                              <w:p w14:paraId="089D4295" w14:textId="58616DE1" w:rsidR="00B307FE" w:rsidRDefault="000710F8">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283947">
                                      <w:rPr>
                                        <w:caps/>
                                        <w:color w:val="595959" w:themeColor="text1" w:themeTint="A6"/>
                                        <w:sz w:val="20"/>
                                        <w:szCs w:val="20"/>
                                      </w:rPr>
                                      <w:t>comparative international development and innovation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C29FA45"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6BA3DE8A" w14:textId="39ECA33E" w:rsidR="00B307FE" w:rsidRDefault="00B307FE">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rPr>
                                <w:t>Jaea</w:t>
                              </w:r>
                              <w:r w:rsidR="00283947">
                                <w:rPr>
                                  <w:color w:val="4472C4" w:themeColor="accent1"/>
                                  <w:sz w:val="26"/>
                                  <w:szCs w:val="26"/>
                                </w:rPr>
                                <w:t xml:space="preserve"> Huntley</w:t>
                              </w:r>
                              <w:r>
                                <w:rPr>
                                  <w:color w:val="4472C4" w:themeColor="accent1"/>
                                  <w:sz w:val="26"/>
                                  <w:szCs w:val="26"/>
                                </w:rPr>
                                <w:t xml:space="preserve"> Compton</w:t>
                              </w:r>
                            </w:sdtContent>
                          </w:sdt>
                        </w:p>
                        <w:p w14:paraId="089D4295" w14:textId="58616DE1" w:rsidR="00B307FE" w:rsidRDefault="00B307FE">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283947">
                                <w:rPr>
                                  <w:caps/>
                                  <w:color w:val="595959" w:themeColor="text1" w:themeTint="A6"/>
                                  <w:sz w:val="20"/>
                                  <w:szCs w:val="20"/>
                                </w:rPr>
                                <w:t>comparative international development and innovation</w:t>
                              </w:r>
                            </w:sdtContent>
                          </w:sdt>
                        </w:p>
                      </w:txbxContent>
                    </v:textbox>
                    <w10:wrap anchorx="page" anchory="page"/>
                  </v:shape>
                </w:pict>
              </mc:Fallback>
            </mc:AlternateContent>
          </w:r>
        </w:p>
        <w:p w14:paraId="00ABFE70" w14:textId="6ED492D7" w:rsidR="00B307FE" w:rsidRDefault="00A809E5">
          <w:r>
            <w:rPr>
              <w:noProof/>
            </w:rPr>
            <mc:AlternateContent>
              <mc:Choice Requires="wps">
                <w:drawing>
                  <wp:anchor distT="0" distB="0" distL="114300" distR="114300" simplePos="0" relativeHeight="251660288" behindDoc="0" locked="0" layoutInCell="1" allowOverlap="1" wp14:anchorId="4676B69B" wp14:editId="2AE29CF3">
                    <wp:simplePos x="0" y="0"/>
                    <wp:positionH relativeFrom="page">
                      <wp:posOffset>3071812</wp:posOffset>
                    </wp:positionH>
                    <wp:positionV relativeFrom="page">
                      <wp:posOffset>1762125</wp:posOffset>
                    </wp:positionV>
                    <wp:extent cx="4328795" cy="1069340"/>
                    <wp:effectExtent l="0" t="0" r="14605" b="14605"/>
                    <wp:wrapNone/>
                    <wp:docPr id="1" name="Text Box 1"/>
                    <wp:cNvGraphicFramePr/>
                    <a:graphic xmlns:a="http://schemas.openxmlformats.org/drawingml/2006/main">
                      <a:graphicData uri="http://schemas.microsoft.com/office/word/2010/wordprocessingShape">
                        <wps:wsp>
                          <wps:cNvSpPr txBox="1"/>
                          <wps:spPr>
                            <a:xfrm>
                              <a:off x="0" y="0"/>
                              <a:ext cx="4328795"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EFA0D" w14:textId="01151792" w:rsidR="00B307FE" w:rsidRPr="003F3A30" w:rsidRDefault="000710F8" w:rsidP="00A809E5">
                                <w:pPr>
                                  <w:pStyle w:val="NoSpacing"/>
                                  <w:jc w:val="center"/>
                                  <w:rPr>
                                    <w:rFonts w:asciiTheme="majorHAnsi" w:eastAsiaTheme="majorEastAsia" w:hAnsiTheme="majorHAnsi" w:cstheme="majorBidi"/>
                                    <w:color w:val="262626" w:themeColor="text1" w:themeTint="D9"/>
                                    <w:sz w:val="64"/>
                                    <w:szCs w:val="64"/>
                                  </w:rPr>
                                </w:pPr>
                                <w:sdt>
                                  <w:sdtPr>
                                    <w:rPr>
                                      <w:rFonts w:asciiTheme="majorHAnsi" w:eastAsiaTheme="majorEastAsia" w:hAnsiTheme="majorHAnsi" w:cstheme="majorBidi"/>
                                      <w:color w:val="262626" w:themeColor="text1" w:themeTint="D9"/>
                                      <w:sz w:val="64"/>
                                      <w:szCs w:val="64"/>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72DDF">
                                      <w:rPr>
                                        <w:rFonts w:asciiTheme="majorHAnsi" w:eastAsiaTheme="majorEastAsia" w:hAnsiTheme="majorHAnsi" w:cstheme="majorBidi"/>
                                        <w:color w:val="262626" w:themeColor="text1" w:themeTint="D9"/>
                                        <w:sz w:val="64"/>
                                        <w:szCs w:val="64"/>
                                      </w:rPr>
                                      <w:t>A Culture of Ideology, Innovation, and Policies</w:t>
                                    </w:r>
                                  </w:sdtContent>
                                </w:sdt>
                              </w:p>
                              <w:p w14:paraId="44EBA501" w14:textId="241BF98B" w:rsidR="00B307FE" w:rsidRPr="00A809E5" w:rsidRDefault="000710F8">
                                <w:pPr>
                                  <w:spacing w:before="120"/>
                                  <w:rPr>
                                    <w:color w:val="404040" w:themeColor="text1" w:themeTint="BF"/>
                                    <w:sz w:val="20"/>
                                    <w:szCs w:val="20"/>
                                  </w:rPr>
                                </w:pPr>
                                <w:sdt>
                                  <w:sdtPr>
                                    <w:rPr>
                                      <w:i/>
                                      <w:iCs/>
                                      <w:color w:val="404040" w:themeColor="text1" w:themeTint="BF"/>
                                      <w:sz w:val="20"/>
                                      <w:szCs w:val="2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A7229E">
                                      <w:rPr>
                                        <w:i/>
                                        <w:iCs/>
                                        <w:color w:val="404040" w:themeColor="text1" w:themeTint="BF"/>
                                        <w:sz w:val="20"/>
                                        <w:szCs w:val="20"/>
                                      </w:rPr>
                                      <w:t>A Critique of Why Nations Fail when analyzed through the context of Lost Enlightenment, Islam, Authoritarianism, and Underdevelopment, and A Culture of Growth</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676B69B" id="_x0000_t202" coordsize="21600,21600" o:spt="202" path="m,l,21600r21600,l21600,xe">
                    <v:stroke joinstyle="miter"/>
                    <v:path gradientshapeok="t" o:connecttype="rect"/>
                  </v:shapetype>
                  <v:shape id="Text Box 1" o:spid="_x0000_s1056" type="#_x0000_t202" style="position:absolute;margin-left:241.85pt;margin-top:138.75pt;width:340.8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" filled="f" stroked="f" strokeweight=".5pt">
                    <v:textbox style="mso-fit-shape-to-text:t" inset="0,0,0,0">
                      <w:txbxContent>
                        <w:p w14:paraId="439EFA0D" w14:textId="01151792" w:rsidR="00B307FE" w:rsidRPr="003F3A30" w:rsidRDefault="000710F8" w:rsidP="00A809E5">
                          <w:pPr>
                            <w:pStyle w:val="NoSpacing"/>
                            <w:jc w:val="center"/>
                            <w:rPr>
                              <w:rFonts w:asciiTheme="majorHAnsi" w:eastAsiaTheme="majorEastAsia" w:hAnsiTheme="majorHAnsi" w:cstheme="majorBidi"/>
                              <w:color w:val="262626" w:themeColor="text1" w:themeTint="D9"/>
                              <w:sz w:val="64"/>
                              <w:szCs w:val="64"/>
                            </w:rPr>
                          </w:pPr>
                          <w:sdt>
                            <w:sdtPr>
                              <w:rPr>
                                <w:rFonts w:asciiTheme="majorHAnsi" w:eastAsiaTheme="majorEastAsia" w:hAnsiTheme="majorHAnsi" w:cstheme="majorBidi"/>
                                <w:color w:val="262626" w:themeColor="text1" w:themeTint="D9"/>
                                <w:sz w:val="64"/>
                                <w:szCs w:val="64"/>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72DDF">
                                <w:rPr>
                                  <w:rFonts w:asciiTheme="majorHAnsi" w:eastAsiaTheme="majorEastAsia" w:hAnsiTheme="majorHAnsi" w:cstheme="majorBidi"/>
                                  <w:color w:val="262626" w:themeColor="text1" w:themeTint="D9"/>
                                  <w:sz w:val="64"/>
                                  <w:szCs w:val="64"/>
                                </w:rPr>
                                <w:t>A Culture of Ideology, Innovation, and Policies</w:t>
                              </w:r>
                            </w:sdtContent>
                          </w:sdt>
                        </w:p>
                        <w:p w14:paraId="44EBA501" w14:textId="241BF98B" w:rsidR="00B307FE" w:rsidRPr="00A809E5" w:rsidRDefault="000710F8">
                          <w:pPr>
                            <w:spacing w:before="120"/>
                            <w:rPr>
                              <w:color w:val="404040" w:themeColor="text1" w:themeTint="BF"/>
                              <w:sz w:val="20"/>
                              <w:szCs w:val="20"/>
                            </w:rPr>
                          </w:pPr>
                          <w:sdt>
                            <w:sdtPr>
                              <w:rPr>
                                <w:i/>
                                <w:iCs/>
                                <w:color w:val="404040" w:themeColor="text1" w:themeTint="BF"/>
                                <w:sz w:val="20"/>
                                <w:szCs w:val="2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A7229E">
                                <w:rPr>
                                  <w:i/>
                                  <w:iCs/>
                                  <w:color w:val="404040" w:themeColor="text1" w:themeTint="BF"/>
                                  <w:sz w:val="20"/>
                                  <w:szCs w:val="20"/>
                                </w:rPr>
                                <w:t>A Critique of Why Nations Fail when analyzed through the context of Lost Enlightenment, Islam, Authoritarianism, and Underdevelopment, and A Culture of Growth</w:t>
                              </w:r>
                            </w:sdtContent>
                          </w:sdt>
                        </w:p>
                      </w:txbxContent>
                    </v:textbox>
                    <w10:wrap anchorx="page" anchory="page"/>
                  </v:shape>
                </w:pict>
              </mc:Fallback>
            </mc:AlternateContent>
          </w:r>
          <w:r w:rsidR="00B307FE">
            <w:br w:type="page"/>
          </w:r>
        </w:p>
      </w:sdtContent>
    </w:sdt>
    <w:p w14:paraId="71A5F0D1" w14:textId="4E964ACA" w:rsidR="000945F4" w:rsidRPr="00372CE4" w:rsidRDefault="001454B0" w:rsidP="00372CE4">
      <w:pPr>
        <w:spacing w:line="480" w:lineRule="auto"/>
        <w:rPr>
          <w:rFonts w:ascii="Times New Roman" w:hAnsi="Times New Roman" w:cs="Times New Roman"/>
          <w:b/>
          <w:bCs/>
          <w:sz w:val="24"/>
          <w:szCs w:val="24"/>
        </w:rPr>
      </w:pPr>
      <w:bookmarkStart w:id="1" w:name="_Hlk79411895"/>
      <w:r w:rsidRPr="00372CE4">
        <w:rPr>
          <w:rFonts w:ascii="Times New Roman" w:hAnsi="Times New Roman" w:cs="Times New Roman"/>
          <w:b/>
          <w:bCs/>
          <w:sz w:val="24"/>
          <w:szCs w:val="24"/>
        </w:rPr>
        <w:lastRenderedPageBreak/>
        <w:t>Introduction</w:t>
      </w:r>
      <w:r w:rsidR="00372CE4">
        <w:rPr>
          <w:rFonts w:ascii="Times New Roman" w:hAnsi="Times New Roman" w:cs="Times New Roman"/>
          <w:b/>
          <w:bCs/>
          <w:sz w:val="24"/>
          <w:szCs w:val="24"/>
        </w:rPr>
        <w:t>:</w:t>
      </w:r>
    </w:p>
    <w:p w14:paraId="38F86474" w14:textId="4BC4C572" w:rsidR="001454B0" w:rsidRPr="00372CE4" w:rsidRDefault="001454B0" w:rsidP="00372CE4">
      <w:pPr>
        <w:spacing w:line="480" w:lineRule="auto"/>
        <w:ind w:firstLine="720"/>
        <w:rPr>
          <w:rFonts w:ascii="Times New Roman" w:hAnsi="Times New Roman" w:cs="Times New Roman"/>
          <w:sz w:val="24"/>
          <w:szCs w:val="24"/>
        </w:rPr>
      </w:pPr>
      <w:r w:rsidRPr="00372CE4">
        <w:rPr>
          <w:rFonts w:ascii="Times New Roman" w:hAnsi="Times New Roman" w:cs="Times New Roman"/>
          <w:sz w:val="24"/>
          <w:szCs w:val="24"/>
        </w:rPr>
        <w:t xml:space="preserve">Sustained economic growth exists as a </w:t>
      </w:r>
      <w:r w:rsidR="00B307FE" w:rsidRPr="00372CE4">
        <w:rPr>
          <w:rFonts w:ascii="Times New Roman" w:hAnsi="Times New Roman" w:cs="Times New Roman"/>
          <w:sz w:val="24"/>
          <w:szCs w:val="24"/>
        </w:rPr>
        <w:t>recent phenomenon</w:t>
      </w:r>
      <w:r w:rsidRPr="00372CE4">
        <w:rPr>
          <w:rFonts w:ascii="Times New Roman" w:hAnsi="Times New Roman" w:cs="Times New Roman"/>
          <w:sz w:val="24"/>
          <w:szCs w:val="24"/>
        </w:rPr>
        <w:t xml:space="preserve"> in the scope of civilized history, occurring over the last three hundred years or so.</w:t>
      </w:r>
      <w:r w:rsidRPr="00372CE4">
        <w:rPr>
          <w:rStyle w:val="FootnoteReference"/>
          <w:rFonts w:ascii="Times New Roman" w:hAnsi="Times New Roman" w:cs="Times New Roman"/>
          <w:sz w:val="24"/>
          <w:szCs w:val="24"/>
        </w:rPr>
        <w:footnoteReference w:id="1"/>
      </w:r>
      <w:r w:rsidR="00B307FE" w:rsidRPr="00372CE4">
        <w:rPr>
          <w:rFonts w:ascii="Times New Roman" w:hAnsi="Times New Roman" w:cs="Times New Roman"/>
          <w:sz w:val="24"/>
          <w:szCs w:val="24"/>
        </w:rPr>
        <w:t xml:space="preserve"> In fact, in the ten thousand years of history preceding the Industrial Revolution most societies experienced a burst of innovation and wealth creation, a season of stagnation, and subsequent decline.</w:t>
      </w:r>
      <w:r w:rsidR="00B307FE" w:rsidRPr="00372CE4">
        <w:rPr>
          <w:rStyle w:val="FootnoteReference"/>
          <w:rFonts w:ascii="Times New Roman" w:hAnsi="Times New Roman" w:cs="Times New Roman"/>
          <w:sz w:val="24"/>
          <w:szCs w:val="24"/>
        </w:rPr>
        <w:footnoteReference w:id="2"/>
      </w:r>
      <w:r w:rsidR="00B307FE" w:rsidRPr="00372CE4">
        <w:rPr>
          <w:rFonts w:ascii="Times New Roman" w:hAnsi="Times New Roman" w:cs="Times New Roman"/>
          <w:sz w:val="24"/>
          <w:szCs w:val="24"/>
        </w:rPr>
        <w:t xml:space="preserve"> The theories for why before the Age of Enlightenment and the Industrial Revolution economic prosperity could not remain sustainable vary in acceptance and believability but it is hard to ignore the rise of institutionalism as the presiding theory. </w:t>
      </w:r>
    </w:p>
    <w:p w14:paraId="56D771CA" w14:textId="76C00B1C" w:rsidR="00B307FE" w:rsidRDefault="00B307FE" w:rsidP="00372CE4">
      <w:pPr>
        <w:spacing w:line="480" w:lineRule="auto"/>
        <w:ind w:firstLine="720"/>
        <w:rPr>
          <w:rFonts w:ascii="Times New Roman" w:hAnsi="Times New Roman" w:cs="Times New Roman"/>
          <w:sz w:val="24"/>
          <w:szCs w:val="24"/>
        </w:rPr>
      </w:pPr>
      <w:r w:rsidRPr="00372CE4">
        <w:rPr>
          <w:rFonts w:ascii="Times New Roman" w:hAnsi="Times New Roman" w:cs="Times New Roman"/>
          <w:sz w:val="24"/>
          <w:szCs w:val="24"/>
        </w:rPr>
        <w:t xml:space="preserve">Daron Acemoglu and James A. Robinson’s book, </w:t>
      </w:r>
      <w:r w:rsidRPr="00372CE4">
        <w:rPr>
          <w:rFonts w:ascii="Times New Roman" w:hAnsi="Times New Roman" w:cs="Times New Roman"/>
          <w:i/>
          <w:iCs/>
          <w:sz w:val="24"/>
          <w:szCs w:val="24"/>
        </w:rPr>
        <w:t>Why Natio</w:t>
      </w:r>
      <w:r w:rsidR="00372CE4" w:rsidRPr="00372CE4">
        <w:rPr>
          <w:rFonts w:ascii="Times New Roman" w:hAnsi="Times New Roman" w:cs="Times New Roman"/>
          <w:i/>
          <w:iCs/>
          <w:sz w:val="24"/>
          <w:szCs w:val="24"/>
        </w:rPr>
        <w:t>n</w:t>
      </w:r>
      <w:r w:rsidRPr="00372CE4">
        <w:rPr>
          <w:rFonts w:ascii="Times New Roman" w:hAnsi="Times New Roman" w:cs="Times New Roman"/>
          <w:i/>
          <w:iCs/>
          <w:sz w:val="24"/>
          <w:szCs w:val="24"/>
        </w:rPr>
        <w:t>s Fail</w:t>
      </w:r>
      <w:r w:rsidRPr="00372CE4">
        <w:rPr>
          <w:rFonts w:ascii="Times New Roman" w:hAnsi="Times New Roman" w:cs="Times New Roman"/>
          <w:sz w:val="24"/>
          <w:szCs w:val="24"/>
        </w:rPr>
        <w:t xml:space="preserve">, </w:t>
      </w:r>
      <w:r w:rsidR="00372CE4" w:rsidRPr="00372CE4">
        <w:rPr>
          <w:rFonts w:ascii="Times New Roman" w:hAnsi="Times New Roman" w:cs="Times New Roman"/>
          <w:sz w:val="24"/>
          <w:szCs w:val="24"/>
        </w:rPr>
        <w:t xml:space="preserve">proposes that while cultural acceptance of education, technology, innovation, and new ideas is prevalent to building towards economic prosperity, it is the economic and political institutions themselves that create sustainable economic growth. Nations rise and fall based on the institutions in place. However, Frederick Starr in </w:t>
      </w:r>
      <w:r w:rsidR="00372CE4" w:rsidRPr="00372CE4">
        <w:rPr>
          <w:rFonts w:ascii="Times New Roman" w:hAnsi="Times New Roman" w:cs="Times New Roman"/>
          <w:i/>
          <w:iCs/>
          <w:sz w:val="24"/>
          <w:szCs w:val="24"/>
        </w:rPr>
        <w:t>Lost Enlightenment</w:t>
      </w:r>
      <w:r w:rsidR="00372CE4" w:rsidRPr="00372CE4">
        <w:rPr>
          <w:rFonts w:ascii="Times New Roman" w:hAnsi="Times New Roman" w:cs="Times New Roman"/>
          <w:sz w:val="24"/>
          <w:szCs w:val="24"/>
        </w:rPr>
        <w:t xml:space="preserve">, Ahmet T. Kuru in </w:t>
      </w:r>
      <w:r w:rsidR="00372CE4" w:rsidRPr="00372CE4">
        <w:rPr>
          <w:rFonts w:ascii="Times New Roman" w:hAnsi="Times New Roman" w:cs="Times New Roman"/>
          <w:i/>
          <w:iCs/>
          <w:sz w:val="24"/>
          <w:szCs w:val="24"/>
        </w:rPr>
        <w:t>Islam, Authoritarianism, and Underdevelopment</w:t>
      </w:r>
      <w:r w:rsidR="00372CE4" w:rsidRPr="00372CE4">
        <w:rPr>
          <w:rFonts w:ascii="Times New Roman" w:hAnsi="Times New Roman" w:cs="Times New Roman"/>
          <w:sz w:val="24"/>
          <w:szCs w:val="24"/>
        </w:rPr>
        <w:t xml:space="preserve">, and Joel Mokyr in </w:t>
      </w:r>
      <w:r w:rsidR="00372CE4" w:rsidRPr="00372CE4">
        <w:rPr>
          <w:rFonts w:ascii="Times New Roman" w:hAnsi="Times New Roman" w:cs="Times New Roman"/>
          <w:i/>
          <w:iCs/>
          <w:sz w:val="24"/>
          <w:szCs w:val="24"/>
        </w:rPr>
        <w:t>A Culture of Growth</w:t>
      </w:r>
      <w:r w:rsidR="00372CE4" w:rsidRPr="00372CE4">
        <w:rPr>
          <w:rFonts w:ascii="Times New Roman" w:hAnsi="Times New Roman" w:cs="Times New Roman"/>
          <w:sz w:val="24"/>
          <w:szCs w:val="24"/>
        </w:rPr>
        <w:t xml:space="preserve"> offer an alternative theory where the importance of transnational exchanges of ideas and innovations has more importance in economic development than the institutions supporting the economic system.</w:t>
      </w:r>
    </w:p>
    <w:p w14:paraId="4077284F" w14:textId="5D22E244" w:rsidR="00372CE4" w:rsidRDefault="00372CE4" w:rsidP="00372CE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brief analysis will seek to critique the theory of institutionalism based on the arguments provided by Starr, Kuru, and Mokyr when analyzing the often-forgotten enlightenment of the </w:t>
      </w:r>
      <w:r w:rsidR="005442CE">
        <w:rPr>
          <w:rFonts w:ascii="Times New Roman" w:hAnsi="Times New Roman" w:cs="Times New Roman"/>
          <w:sz w:val="24"/>
          <w:szCs w:val="24"/>
        </w:rPr>
        <w:t>eighth</w:t>
      </w:r>
      <w:r>
        <w:rPr>
          <w:rFonts w:ascii="Times New Roman" w:hAnsi="Times New Roman" w:cs="Times New Roman"/>
          <w:sz w:val="24"/>
          <w:szCs w:val="24"/>
        </w:rPr>
        <w:t xml:space="preserve"> through eleventh century, Central Asia’s Golden Age, and the factors for its </w:t>
      </w:r>
      <w:r w:rsidR="005442CE">
        <w:rPr>
          <w:rFonts w:ascii="Times New Roman" w:hAnsi="Times New Roman" w:cs="Times New Roman"/>
          <w:sz w:val="24"/>
          <w:szCs w:val="24"/>
        </w:rPr>
        <w:t xml:space="preserve">stagnation and </w:t>
      </w:r>
      <w:r>
        <w:rPr>
          <w:rFonts w:ascii="Times New Roman" w:hAnsi="Times New Roman" w:cs="Times New Roman"/>
          <w:sz w:val="24"/>
          <w:szCs w:val="24"/>
        </w:rPr>
        <w:t xml:space="preserve">fall </w:t>
      </w:r>
      <w:r w:rsidR="005442CE">
        <w:rPr>
          <w:rFonts w:ascii="Times New Roman" w:hAnsi="Times New Roman" w:cs="Times New Roman"/>
          <w:sz w:val="24"/>
          <w:szCs w:val="24"/>
        </w:rPr>
        <w:t xml:space="preserve">during the late </w:t>
      </w:r>
      <w:r w:rsidR="00A950AC">
        <w:rPr>
          <w:rFonts w:ascii="Times New Roman" w:hAnsi="Times New Roman" w:cs="Times New Roman"/>
          <w:sz w:val="24"/>
          <w:szCs w:val="24"/>
        </w:rPr>
        <w:t>twelfth century</w:t>
      </w:r>
      <w:r>
        <w:rPr>
          <w:rFonts w:ascii="Times New Roman" w:hAnsi="Times New Roman" w:cs="Times New Roman"/>
          <w:sz w:val="24"/>
          <w:szCs w:val="24"/>
        </w:rPr>
        <w:t xml:space="preserve">. </w:t>
      </w:r>
    </w:p>
    <w:p w14:paraId="46EEF384" w14:textId="0B017964" w:rsidR="00372CE4" w:rsidRPr="00374A59" w:rsidRDefault="00372CE4" w:rsidP="00372CE4">
      <w:pPr>
        <w:spacing w:line="480" w:lineRule="auto"/>
        <w:rPr>
          <w:rFonts w:ascii="Times New Roman" w:hAnsi="Times New Roman" w:cs="Times New Roman"/>
          <w:b/>
          <w:bCs/>
          <w:sz w:val="24"/>
          <w:szCs w:val="24"/>
        </w:rPr>
      </w:pPr>
      <w:r w:rsidRPr="00374A59">
        <w:rPr>
          <w:rFonts w:ascii="Times New Roman" w:hAnsi="Times New Roman" w:cs="Times New Roman"/>
          <w:b/>
          <w:bCs/>
          <w:sz w:val="24"/>
          <w:szCs w:val="24"/>
        </w:rPr>
        <w:lastRenderedPageBreak/>
        <w:t>Lost Enlightenment</w:t>
      </w:r>
      <w:r w:rsidR="00A24500">
        <w:rPr>
          <w:rFonts w:ascii="Times New Roman" w:hAnsi="Times New Roman" w:cs="Times New Roman"/>
          <w:b/>
          <w:bCs/>
          <w:sz w:val="24"/>
          <w:szCs w:val="24"/>
        </w:rPr>
        <w:t>, the Golden Age of Central Asia</w:t>
      </w:r>
      <w:r w:rsidRPr="00374A59">
        <w:rPr>
          <w:rFonts w:ascii="Times New Roman" w:hAnsi="Times New Roman" w:cs="Times New Roman"/>
          <w:b/>
          <w:bCs/>
          <w:sz w:val="24"/>
          <w:szCs w:val="24"/>
        </w:rPr>
        <w:t>:</w:t>
      </w:r>
    </w:p>
    <w:p w14:paraId="084A68D5" w14:textId="43E38569" w:rsidR="00283947" w:rsidRDefault="00283947" w:rsidP="00372CE4">
      <w:pPr>
        <w:spacing w:line="480" w:lineRule="auto"/>
        <w:rPr>
          <w:rFonts w:ascii="Times New Roman" w:hAnsi="Times New Roman" w:cs="Times New Roman"/>
          <w:sz w:val="24"/>
          <w:szCs w:val="24"/>
        </w:rPr>
      </w:pPr>
      <w:r>
        <w:rPr>
          <w:rFonts w:ascii="Times New Roman" w:hAnsi="Times New Roman" w:cs="Times New Roman"/>
          <w:sz w:val="24"/>
          <w:szCs w:val="24"/>
        </w:rPr>
        <w:tab/>
      </w:r>
      <w:r w:rsidR="00A93DE9">
        <w:rPr>
          <w:rFonts w:ascii="Times New Roman" w:hAnsi="Times New Roman" w:cs="Times New Roman"/>
          <w:sz w:val="24"/>
          <w:szCs w:val="24"/>
        </w:rPr>
        <w:t xml:space="preserve">The patronage of intellectual innovation plays a major part in the economic rise of Central Asia from 650-950 C.E. </w:t>
      </w:r>
      <w:r w:rsidR="00463503">
        <w:rPr>
          <w:rFonts w:ascii="Times New Roman" w:hAnsi="Times New Roman" w:cs="Times New Roman"/>
          <w:sz w:val="24"/>
          <w:szCs w:val="24"/>
        </w:rPr>
        <w:t xml:space="preserve">From Mamun’s House of Wisdom to </w:t>
      </w:r>
      <w:r w:rsidR="00374A59">
        <w:rPr>
          <w:rFonts w:ascii="Times New Roman" w:hAnsi="Times New Roman" w:cs="Times New Roman"/>
          <w:sz w:val="24"/>
          <w:szCs w:val="24"/>
        </w:rPr>
        <w:t xml:space="preserve">Central Asia’s three most prominent cities of Nishapur, Bukhara, and Gurganj, </w:t>
      </w:r>
      <w:r w:rsidR="006E62B6">
        <w:rPr>
          <w:rFonts w:ascii="Times New Roman" w:hAnsi="Times New Roman" w:cs="Times New Roman"/>
          <w:sz w:val="24"/>
          <w:szCs w:val="24"/>
        </w:rPr>
        <w:t>the intrigue of collaborating with prominent learned men from differing fields, cultures, ethnicities, and religions served as an enticement to encourage economic growth.</w:t>
      </w:r>
    </w:p>
    <w:p w14:paraId="7CE56786" w14:textId="4CDC5D6A" w:rsidR="00372CE4" w:rsidRDefault="00372CE4" w:rsidP="00372CE4">
      <w:pPr>
        <w:spacing w:line="480" w:lineRule="auto"/>
        <w:rPr>
          <w:rFonts w:ascii="Times New Roman" w:hAnsi="Times New Roman" w:cs="Times New Roman"/>
          <w:sz w:val="24"/>
          <w:szCs w:val="24"/>
        </w:rPr>
      </w:pPr>
      <w:r>
        <w:rPr>
          <w:rFonts w:ascii="Times New Roman" w:hAnsi="Times New Roman" w:cs="Times New Roman"/>
          <w:sz w:val="24"/>
          <w:szCs w:val="24"/>
        </w:rPr>
        <w:tab/>
      </w:r>
      <w:r w:rsidR="00463503">
        <w:rPr>
          <w:rFonts w:ascii="Times New Roman" w:hAnsi="Times New Roman" w:cs="Times New Roman"/>
          <w:sz w:val="24"/>
          <w:szCs w:val="24"/>
        </w:rPr>
        <w:t>The rise of Nishapur is attributed as much to its intellectual and cultural renown as it is its political might.</w:t>
      </w:r>
      <w:r w:rsidR="00463503">
        <w:rPr>
          <w:rStyle w:val="FootnoteReference"/>
          <w:rFonts w:ascii="Times New Roman" w:hAnsi="Times New Roman" w:cs="Times New Roman"/>
          <w:sz w:val="24"/>
          <w:szCs w:val="24"/>
        </w:rPr>
        <w:footnoteReference w:id="3"/>
      </w:r>
      <w:r w:rsidR="00463503">
        <w:rPr>
          <w:rFonts w:ascii="Times New Roman" w:hAnsi="Times New Roman" w:cs="Times New Roman"/>
          <w:sz w:val="24"/>
          <w:szCs w:val="24"/>
        </w:rPr>
        <w:t xml:space="preserve"> And while economically its prosperity did not last for long, the intellectual expansiveness of the scholars gathered within Nishapur assisted the city in retaining its status of greatness.</w:t>
      </w:r>
      <w:r w:rsidR="00463503">
        <w:rPr>
          <w:rStyle w:val="FootnoteReference"/>
          <w:rFonts w:ascii="Times New Roman" w:hAnsi="Times New Roman" w:cs="Times New Roman"/>
          <w:sz w:val="24"/>
          <w:szCs w:val="24"/>
        </w:rPr>
        <w:footnoteReference w:id="4"/>
      </w:r>
      <w:r w:rsidR="00463503">
        <w:rPr>
          <w:rFonts w:ascii="Times New Roman" w:hAnsi="Times New Roman" w:cs="Times New Roman"/>
          <w:sz w:val="24"/>
          <w:szCs w:val="24"/>
        </w:rPr>
        <w:t xml:space="preserve"> In fact, the prosperity of the city is considered a by-product of the cultural importance of those gathered in Nishapur, rather than the </w:t>
      </w:r>
      <w:r w:rsidR="00C239B7">
        <w:rPr>
          <w:rFonts w:ascii="Times New Roman" w:hAnsi="Times New Roman" w:cs="Times New Roman"/>
          <w:sz w:val="24"/>
          <w:szCs w:val="24"/>
        </w:rPr>
        <w:t>reason the city rose in prominence.</w:t>
      </w:r>
      <w:r w:rsidR="00C239B7">
        <w:rPr>
          <w:rStyle w:val="FootnoteReference"/>
          <w:rFonts w:ascii="Times New Roman" w:hAnsi="Times New Roman" w:cs="Times New Roman"/>
          <w:sz w:val="24"/>
          <w:szCs w:val="24"/>
        </w:rPr>
        <w:footnoteReference w:id="5"/>
      </w:r>
    </w:p>
    <w:p w14:paraId="1D0DD890" w14:textId="77777777" w:rsidR="007335EB" w:rsidRDefault="00C239B7" w:rsidP="000E7135">
      <w:pPr>
        <w:spacing w:line="480" w:lineRule="auto"/>
        <w:rPr>
          <w:rFonts w:ascii="Times New Roman" w:hAnsi="Times New Roman" w:cs="Times New Roman"/>
          <w:sz w:val="24"/>
          <w:szCs w:val="24"/>
        </w:rPr>
      </w:pPr>
      <w:r>
        <w:rPr>
          <w:rFonts w:ascii="Times New Roman" w:hAnsi="Times New Roman" w:cs="Times New Roman"/>
          <w:sz w:val="24"/>
          <w:szCs w:val="24"/>
        </w:rPr>
        <w:tab/>
        <w:t>The city of Bukhara under Samanid rule could potentially be the first Central Asian city with inclusive economic policies, as traders and manufacturers were respected for the economic prosperity they added to the state.</w:t>
      </w:r>
      <w:r>
        <w:rPr>
          <w:rStyle w:val="FootnoteReference"/>
          <w:rFonts w:ascii="Times New Roman" w:hAnsi="Times New Roman" w:cs="Times New Roman"/>
          <w:sz w:val="24"/>
          <w:szCs w:val="24"/>
        </w:rPr>
        <w:footnoteReference w:id="6"/>
      </w:r>
      <w:r w:rsidR="00374A59">
        <w:rPr>
          <w:rFonts w:ascii="Times New Roman" w:hAnsi="Times New Roman" w:cs="Times New Roman"/>
          <w:sz w:val="24"/>
          <w:szCs w:val="24"/>
        </w:rPr>
        <w:t xml:space="preserve"> Currency was also centralized, with the dirham serving as the most widely accepted form of payment since the Roman denarius.</w:t>
      </w:r>
      <w:r w:rsidR="00374A59">
        <w:rPr>
          <w:rStyle w:val="FootnoteReference"/>
          <w:rFonts w:ascii="Times New Roman" w:hAnsi="Times New Roman" w:cs="Times New Roman"/>
          <w:sz w:val="24"/>
          <w:szCs w:val="24"/>
        </w:rPr>
        <w:footnoteReference w:id="7"/>
      </w:r>
      <w:r w:rsidR="00374A59">
        <w:rPr>
          <w:rFonts w:ascii="Times New Roman" w:hAnsi="Times New Roman" w:cs="Times New Roman"/>
          <w:sz w:val="24"/>
          <w:szCs w:val="24"/>
        </w:rPr>
        <w:t xml:space="preserve"> But while their economic and public policies should have served alone as the reason this city is remembered, it is the accumulation of learned scholars and books that makes Bukhara infamous.</w:t>
      </w:r>
      <w:r w:rsidR="00374A59">
        <w:rPr>
          <w:rStyle w:val="FootnoteReference"/>
          <w:rFonts w:ascii="Times New Roman" w:hAnsi="Times New Roman" w:cs="Times New Roman"/>
          <w:sz w:val="24"/>
          <w:szCs w:val="24"/>
        </w:rPr>
        <w:footnoteReference w:id="8"/>
      </w:r>
    </w:p>
    <w:p w14:paraId="27F97A18" w14:textId="2DEDF647" w:rsidR="000E7135" w:rsidRDefault="000E7135" w:rsidP="007335EB">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Gurganj</w:t>
      </w:r>
      <w:r w:rsidR="00DB7234">
        <w:rPr>
          <w:rFonts w:ascii="Times New Roman" w:hAnsi="Times New Roman" w:cs="Times New Roman"/>
          <w:sz w:val="24"/>
          <w:szCs w:val="24"/>
        </w:rPr>
        <w:t>’s</w:t>
      </w:r>
      <w:proofErr w:type="spellEnd"/>
      <w:r w:rsidR="00DB7234">
        <w:rPr>
          <w:rFonts w:ascii="Times New Roman" w:hAnsi="Times New Roman" w:cs="Times New Roman"/>
          <w:sz w:val="24"/>
          <w:szCs w:val="24"/>
        </w:rPr>
        <w:t xml:space="preserve"> location served as its greatest asset, </w:t>
      </w:r>
      <w:r w:rsidR="003A706D">
        <w:rPr>
          <w:rFonts w:ascii="Times New Roman" w:hAnsi="Times New Roman" w:cs="Times New Roman"/>
          <w:sz w:val="24"/>
          <w:szCs w:val="24"/>
        </w:rPr>
        <w:t>located at the crossroads of four main Central Asian transport routes.</w:t>
      </w:r>
      <w:r w:rsidR="003A706D">
        <w:rPr>
          <w:rStyle w:val="FootnoteReference"/>
          <w:rFonts w:ascii="Times New Roman" w:hAnsi="Times New Roman" w:cs="Times New Roman"/>
          <w:sz w:val="24"/>
          <w:szCs w:val="24"/>
        </w:rPr>
        <w:footnoteReference w:id="9"/>
      </w:r>
      <w:r w:rsidR="003A706D">
        <w:rPr>
          <w:rFonts w:ascii="Times New Roman" w:hAnsi="Times New Roman" w:cs="Times New Roman"/>
          <w:sz w:val="24"/>
          <w:szCs w:val="24"/>
        </w:rPr>
        <w:t xml:space="preserve"> The city was known for its innovations in hydraulic engineering, creating channels and tunnels to provide irrigation and public use waters to the populated desert region.</w:t>
      </w:r>
      <w:r w:rsidR="003A706D">
        <w:rPr>
          <w:rStyle w:val="FootnoteReference"/>
          <w:rFonts w:ascii="Times New Roman" w:hAnsi="Times New Roman" w:cs="Times New Roman"/>
          <w:sz w:val="24"/>
          <w:szCs w:val="24"/>
        </w:rPr>
        <w:footnoteReference w:id="10"/>
      </w:r>
      <w:r w:rsidR="003A706D">
        <w:rPr>
          <w:rFonts w:ascii="Times New Roman" w:hAnsi="Times New Roman" w:cs="Times New Roman"/>
          <w:sz w:val="24"/>
          <w:szCs w:val="24"/>
        </w:rPr>
        <w:t xml:space="preserve"> Without its initial irrigation technologies innovations, the future prosperity of Gurganj would not have existed. Under the rulership of Abu Ali Mamun and his sons, Gurganj was built to return Central Asia to its global prominence as the center for science and literature.</w:t>
      </w:r>
      <w:r w:rsidR="003A706D">
        <w:rPr>
          <w:rStyle w:val="FootnoteReference"/>
          <w:rFonts w:ascii="Times New Roman" w:hAnsi="Times New Roman" w:cs="Times New Roman"/>
          <w:sz w:val="24"/>
          <w:szCs w:val="24"/>
        </w:rPr>
        <w:footnoteReference w:id="11"/>
      </w:r>
      <w:r w:rsidR="002C7C21">
        <w:rPr>
          <w:rFonts w:ascii="Times New Roman" w:hAnsi="Times New Roman" w:cs="Times New Roman"/>
          <w:sz w:val="24"/>
          <w:szCs w:val="24"/>
        </w:rPr>
        <w:t xml:space="preserve"> So coveted was the scholars of Gurganj, Mahmud of Ghazni attempted to force the court of intellectuals, scientists, and scholars to serve at his own behest.</w:t>
      </w:r>
      <w:r w:rsidR="00CB2246">
        <w:rPr>
          <w:rStyle w:val="FootnoteReference"/>
          <w:rFonts w:ascii="Times New Roman" w:hAnsi="Times New Roman" w:cs="Times New Roman"/>
          <w:sz w:val="24"/>
          <w:szCs w:val="24"/>
        </w:rPr>
        <w:footnoteReference w:id="12"/>
      </w:r>
    </w:p>
    <w:p w14:paraId="1026D681" w14:textId="77777777" w:rsidR="00736896" w:rsidRDefault="00736896" w:rsidP="000E7135">
      <w:pPr>
        <w:spacing w:line="480" w:lineRule="auto"/>
        <w:rPr>
          <w:rFonts w:ascii="Times New Roman" w:hAnsi="Times New Roman" w:cs="Times New Roman"/>
          <w:b/>
          <w:bCs/>
          <w:sz w:val="24"/>
          <w:szCs w:val="24"/>
        </w:rPr>
      </w:pPr>
    </w:p>
    <w:p w14:paraId="080CD3E0" w14:textId="6EFD21DC" w:rsidR="00736896" w:rsidRPr="00736896" w:rsidRDefault="00736896" w:rsidP="000E7135">
      <w:pPr>
        <w:spacing w:line="480" w:lineRule="auto"/>
        <w:rPr>
          <w:rFonts w:ascii="Times New Roman" w:hAnsi="Times New Roman" w:cs="Times New Roman"/>
          <w:b/>
          <w:bCs/>
          <w:sz w:val="24"/>
          <w:szCs w:val="24"/>
        </w:rPr>
      </w:pPr>
      <w:r w:rsidRPr="00736896">
        <w:rPr>
          <w:rFonts w:ascii="Times New Roman" w:hAnsi="Times New Roman" w:cs="Times New Roman"/>
          <w:b/>
          <w:bCs/>
          <w:sz w:val="24"/>
          <w:szCs w:val="24"/>
        </w:rPr>
        <w:t>Cultural and Religious Shift</w:t>
      </w:r>
      <w:r>
        <w:rPr>
          <w:rFonts w:ascii="Times New Roman" w:hAnsi="Times New Roman" w:cs="Times New Roman"/>
          <w:b/>
          <w:bCs/>
          <w:sz w:val="24"/>
          <w:szCs w:val="24"/>
        </w:rPr>
        <w:t xml:space="preserve"> vs.</w:t>
      </w:r>
      <w:r w:rsidRPr="00736896">
        <w:rPr>
          <w:rFonts w:ascii="Times New Roman" w:hAnsi="Times New Roman" w:cs="Times New Roman"/>
          <w:b/>
          <w:bCs/>
          <w:sz w:val="24"/>
          <w:szCs w:val="24"/>
        </w:rPr>
        <w:t xml:space="preserve"> Political and Economic Institutions</w:t>
      </w:r>
      <w:r>
        <w:rPr>
          <w:rFonts w:ascii="Times New Roman" w:hAnsi="Times New Roman" w:cs="Times New Roman"/>
          <w:b/>
          <w:bCs/>
          <w:sz w:val="24"/>
          <w:szCs w:val="24"/>
        </w:rPr>
        <w:t>:</w:t>
      </w:r>
    </w:p>
    <w:p w14:paraId="7E6F95E8" w14:textId="58EDA6CA" w:rsidR="00374A59" w:rsidRDefault="00374A59" w:rsidP="00372C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Starr would probably agree with Acemoglu and Robinson’s assessment that extractive economic policies stagnate and force the decline of states. While not actively discussed in the book, </w:t>
      </w:r>
      <w:r w:rsidR="002C7C21">
        <w:rPr>
          <w:rFonts w:ascii="Times New Roman" w:hAnsi="Times New Roman" w:cs="Times New Roman"/>
          <w:sz w:val="24"/>
          <w:szCs w:val="24"/>
        </w:rPr>
        <w:t>Starr does offer commentary that supports the correlation between poor political policies and dynastical decline such in the case of Abu Abbas who “did little to bolster the economy or security of his realm and was utterly profligate with money”</w:t>
      </w:r>
      <w:r w:rsidR="002C7C21">
        <w:rPr>
          <w:rStyle w:val="FootnoteReference"/>
          <w:rFonts w:ascii="Times New Roman" w:hAnsi="Times New Roman" w:cs="Times New Roman"/>
          <w:sz w:val="24"/>
          <w:szCs w:val="24"/>
        </w:rPr>
        <w:footnoteReference w:id="13"/>
      </w:r>
      <w:r w:rsidR="002C7C21">
        <w:rPr>
          <w:rFonts w:ascii="Times New Roman" w:hAnsi="Times New Roman" w:cs="Times New Roman"/>
          <w:sz w:val="24"/>
          <w:szCs w:val="24"/>
        </w:rPr>
        <w:t xml:space="preserve"> whose poor policies led to the fall of the Mamuns. </w:t>
      </w:r>
      <w:r w:rsidR="000F01DD">
        <w:rPr>
          <w:rFonts w:ascii="Times New Roman" w:hAnsi="Times New Roman" w:cs="Times New Roman"/>
          <w:sz w:val="24"/>
          <w:szCs w:val="24"/>
        </w:rPr>
        <w:t>Also pointed out by Acemoglu and Robinson is that extractive economic policies can generate wealth momentarily, as in the case of Nishapur, Bukhara, and Gurganj where wealth was created once the city was intellectually renown, but then slavery, increased taxation, among other poor policies, were enacted.</w:t>
      </w:r>
    </w:p>
    <w:p w14:paraId="4557257B" w14:textId="697524B1" w:rsidR="003A706D" w:rsidRDefault="003A706D" w:rsidP="000F01D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Starr agrees</w:t>
      </w:r>
      <w:r w:rsidR="00EF6729">
        <w:rPr>
          <w:rFonts w:ascii="Times New Roman" w:hAnsi="Times New Roman" w:cs="Times New Roman"/>
          <w:sz w:val="24"/>
          <w:szCs w:val="24"/>
        </w:rPr>
        <w:t xml:space="preserve"> with Acemoglu and Robinson that indeed</w:t>
      </w:r>
      <w:r>
        <w:rPr>
          <w:rFonts w:ascii="Times New Roman" w:hAnsi="Times New Roman" w:cs="Times New Roman"/>
          <w:sz w:val="24"/>
          <w:szCs w:val="24"/>
        </w:rPr>
        <w:t xml:space="preserve"> money generates political power.</w:t>
      </w:r>
      <w:r>
        <w:rPr>
          <w:rStyle w:val="FootnoteReference"/>
          <w:rFonts w:ascii="Times New Roman" w:hAnsi="Times New Roman" w:cs="Times New Roman"/>
          <w:sz w:val="24"/>
          <w:szCs w:val="24"/>
        </w:rPr>
        <w:footnoteReference w:id="14"/>
      </w:r>
      <w:r w:rsidR="000F01DD">
        <w:rPr>
          <w:rFonts w:ascii="Times New Roman" w:hAnsi="Times New Roman" w:cs="Times New Roman"/>
          <w:sz w:val="24"/>
          <w:szCs w:val="24"/>
        </w:rPr>
        <w:t xml:space="preserve"> The wealth of each family and dynasty directly played into their perceived strength and military might.</w:t>
      </w:r>
      <w:r w:rsidR="00935D85">
        <w:rPr>
          <w:rFonts w:ascii="Times New Roman" w:hAnsi="Times New Roman" w:cs="Times New Roman"/>
          <w:sz w:val="24"/>
          <w:szCs w:val="24"/>
        </w:rPr>
        <w:t xml:space="preserve"> Like extractive political systems, </w:t>
      </w:r>
      <w:r w:rsidR="004A1450">
        <w:rPr>
          <w:rFonts w:ascii="Times New Roman" w:hAnsi="Times New Roman" w:cs="Times New Roman"/>
          <w:sz w:val="24"/>
          <w:szCs w:val="24"/>
        </w:rPr>
        <w:t>power was concentrated into the hands of a few, with little constraints placed on the power each ruler held.</w:t>
      </w:r>
      <w:r w:rsidR="004A1450">
        <w:rPr>
          <w:rStyle w:val="FootnoteReference"/>
          <w:rFonts w:ascii="Times New Roman" w:hAnsi="Times New Roman" w:cs="Times New Roman"/>
          <w:sz w:val="24"/>
          <w:szCs w:val="24"/>
        </w:rPr>
        <w:footnoteReference w:id="15"/>
      </w:r>
      <w:r w:rsidR="00CB1C65">
        <w:rPr>
          <w:rFonts w:ascii="Times New Roman" w:hAnsi="Times New Roman" w:cs="Times New Roman"/>
          <w:sz w:val="24"/>
          <w:szCs w:val="24"/>
        </w:rPr>
        <w:t xml:space="preserve"> In fact, the splitting of the political power in where the caliphate remained as the spiritual figurehead, and the Buyid and subsequent rulers remained as the political leaders of Central Asia did not afford more opportunities for diffusion of power</w:t>
      </w:r>
      <w:r w:rsidR="00832EF6">
        <w:rPr>
          <w:rStyle w:val="FootnoteReference"/>
          <w:rFonts w:ascii="Times New Roman" w:hAnsi="Times New Roman" w:cs="Times New Roman"/>
          <w:sz w:val="24"/>
          <w:szCs w:val="24"/>
        </w:rPr>
        <w:footnoteReference w:id="16"/>
      </w:r>
      <w:r w:rsidR="00CB1C65">
        <w:rPr>
          <w:rFonts w:ascii="Times New Roman" w:hAnsi="Times New Roman" w:cs="Times New Roman"/>
          <w:sz w:val="24"/>
          <w:szCs w:val="24"/>
        </w:rPr>
        <w:t xml:space="preserve">, as </w:t>
      </w:r>
      <w:r w:rsidR="00832EF6">
        <w:rPr>
          <w:rFonts w:ascii="Times New Roman" w:hAnsi="Times New Roman" w:cs="Times New Roman"/>
          <w:sz w:val="24"/>
          <w:szCs w:val="24"/>
        </w:rPr>
        <w:t>within the twelfth century both powers merged again to create the symbiotic and current sustaining system of the ulema-state alliance.</w:t>
      </w:r>
      <w:r w:rsidR="00832EF6">
        <w:rPr>
          <w:rStyle w:val="FootnoteReference"/>
          <w:rFonts w:ascii="Times New Roman" w:hAnsi="Times New Roman" w:cs="Times New Roman"/>
          <w:sz w:val="24"/>
          <w:szCs w:val="24"/>
        </w:rPr>
        <w:footnoteReference w:id="17"/>
      </w:r>
    </w:p>
    <w:p w14:paraId="61504D09" w14:textId="774F822D" w:rsidR="00CB2246" w:rsidRDefault="00CB2246" w:rsidP="00372C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However, the book leads one to believe Starr believes the cultural shifts in the perception of leadership and their policies holds as much sway as the economic opportunities afforded the citizens of Central Asia during the Golden Age. He asserts </w:t>
      </w:r>
      <w:r w:rsidR="00BA074B">
        <w:rPr>
          <w:rFonts w:ascii="Times New Roman" w:hAnsi="Times New Roman" w:cs="Times New Roman"/>
          <w:sz w:val="24"/>
          <w:szCs w:val="24"/>
        </w:rPr>
        <w:t>that the true wane of Nishapur happened when religious thought in the city formed two irreconcilable groupings of liberal and rationalists.</w:t>
      </w:r>
      <w:r w:rsidR="00BA074B">
        <w:rPr>
          <w:rStyle w:val="FootnoteReference"/>
          <w:rFonts w:ascii="Times New Roman" w:hAnsi="Times New Roman" w:cs="Times New Roman"/>
          <w:sz w:val="24"/>
          <w:szCs w:val="24"/>
        </w:rPr>
        <w:footnoteReference w:id="18"/>
      </w:r>
      <w:r w:rsidR="00BA074B">
        <w:rPr>
          <w:rFonts w:ascii="Times New Roman" w:hAnsi="Times New Roman" w:cs="Times New Roman"/>
          <w:sz w:val="24"/>
          <w:szCs w:val="24"/>
        </w:rPr>
        <w:t xml:space="preserve"> The ideological split produced riots and open conflicts, created disciples of </w:t>
      </w:r>
      <w:r w:rsidR="00C829C0">
        <w:rPr>
          <w:rFonts w:ascii="Times New Roman" w:hAnsi="Times New Roman" w:cs="Times New Roman"/>
          <w:sz w:val="24"/>
          <w:szCs w:val="24"/>
        </w:rPr>
        <w:t>ideological personalities, and encouraged other hegemonic competition cities to welcome intellectual and ideological figures, thus reducing the singular renown of Nishapur in due time.</w:t>
      </w:r>
      <w:r w:rsidR="00C829C0">
        <w:rPr>
          <w:rStyle w:val="FootnoteReference"/>
          <w:rFonts w:ascii="Times New Roman" w:hAnsi="Times New Roman" w:cs="Times New Roman"/>
          <w:sz w:val="24"/>
          <w:szCs w:val="24"/>
        </w:rPr>
        <w:footnoteReference w:id="19"/>
      </w:r>
    </w:p>
    <w:p w14:paraId="5089ED49" w14:textId="70787BC7" w:rsidR="001F1B60" w:rsidRDefault="00C829C0" w:rsidP="00372C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shift from cultural </w:t>
      </w:r>
      <w:r w:rsidR="00EF6729">
        <w:rPr>
          <w:rFonts w:ascii="Times New Roman" w:hAnsi="Times New Roman" w:cs="Times New Roman"/>
          <w:sz w:val="24"/>
          <w:szCs w:val="24"/>
        </w:rPr>
        <w:t xml:space="preserve">and religious thought </w:t>
      </w:r>
      <w:r>
        <w:rPr>
          <w:rFonts w:ascii="Times New Roman" w:hAnsi="Times New Roman" w:cs="Times New Roman"/>
          <w:sz w:val="24"/>
          <w:szCs w:val="24"/>
        </w:rPr>
        <w:t xml:space="preserve">inclusiveness to </w:t>
      </w:r>
      <w:r w:rsidR="00EF6729">
        <w:rPr>
          <w:rFonts w:ascii="Times New Roman" w:hAnsi="Times New Roman" w:cs="Times New Roman"/>
          <w:sz w:val="24"/>
          <w:szCs w:val="24"/>
        </w:rPr>
        <w:t>traditionalist and orthodox interpretations of Islam alone</w:t>
      </w:r>
      <w:r w:rsidR="00D77E53">
        <w:rPr>
          <w:rFonts w:ascii="Times New Roman" w:hAnsi="Times New Roman" w:cs="Times New Roman"/>
          <w:sz w:val="24"/>
          <w:szCs w:val="24"/>
        </w:rPr>
        <w:t>, under Seljuk rulership,</w:t>
      </w:r>
      <w:r w:rsidR="00EF6729">
        <w:rPr>
          <w:rFonts w:ascii="Times New Roman" w:hAnsi="Times New Roman" w:cs="Times New Roman"/>
          <w:sz w:val="24"/>
          <w:szCs w:val="24"/>
        </w:rPr>
        <w:t xml:space="preserve"> is according to Starr when the Central Asian Golden Age </w:t>
      </w:r>
      <w:r w:rsidR="00D77E53">
        <w:rPr>
          <w:rFonts w:ascii="Times New Roman" w:hAnsi="Times New Roman" w:cs="Times New Roman"/>
          <w:sz w:val="24"/>
          <w:szCs w:val="24"/>
        </w:rPr>
        <w:t>begins</w:t>
      </w:r>
      <w:r w:rsidR="00EF6729">
        <w:rPr>
          <w:rFonts w:ascii="Times New Roman" w:hAnsi="Times New Roman" w:cs="Times New Roman"/>
          <w:sz w:val="24"/>
          <w:szCs w:val="24"/>
        </w:rPr>
        <w:t xml:space="preserve"> its decline rather than its economic and political state as Acemoglu and Robinson may argue.</w:t>
      </w:r>
      <w:r w:rsidR="00EF6729">
        <w:rPr>
          <w:rStyle w:val="FootnoteReference"/>
          <w:rFonts w:ascii="Times New Roman" w:hAnsi="Times New Roman" w:cs="Times New Roman"/>
          <w:sz w:val="24"/>
          <w:szCs w:val="24"/>
        </w:rPr>
        <w:footnoteReference w:id="20"/>
      </w:r>
      <w:r w:rsidR="002114D1">
        <w:rPr>
          <w:rFonts w:ascii="Times New Roman" w:hAnsi="Times New Roman" w:cs="Times New Roman"/>
          <w:sz w:val="24"/>
          <w:szCs w:val="24"/>
        </w:rPr>
        <w:t xml:space="preserve"> </w:t>
      </w:r>
      <w:r w:rsidR="00D77E53">
        <w:rPr>
          <w:rFonts w:ascii="Times New Roman" w:hAnsi="Times New Roman" w:cs="Times New Roman"/>
          <w:sz w:val="24"/>
          <w:szCs w:val="24"/>
        </w:rPr>
        <w:t xml:space="preserve">Sunni leaders welcomed </w:t>
      </w:r>
      <w:r w:rsidR="00646776">
        <w:rPr>
          <w:rFonts w:ascii="Times New Roman" w:hAnsi="Times New Roman" w:cs="Times New Roman"/>
          <w:sz w:val="24"/>
          <w:szCs w:val="24"/>
        </w:rPr>
        <w:t xml:space="preserve">the Seljuks as a </w:t>
      </w:r>
      <w:r w:rsidR="00D77E53">
        <w:rPr>
          <w:rFonts w:ascii="Times New Roman" w:hAnsi="Times New Roman" w:cs="Times New Roman"/>
          <w:sz w:val="24"/>
          <w:szCs w:val="24"/>
        </w:rPr>
        <w:t xml:space="preserve">more benevolent overlord </w:t>
      </w:r>
      <w:r w:rsidR="00D77E53">
        <w:rPr>
          <w:rFonts w:ascii="Times New Roman" w:hAnsi="Times New Roman" w:cs="Times New Roman"/>
          <w:sz w:val="24"/>
          <w:szCs w:val="24"/>
        </w:rPr>
        <w:lastRenderedPageBreak/>
        <w:t xml:space="preserve">than Mahmud of Ghazni </w:t>
      </w:r>
      <w:r w:rsidR="00775A17">
        <w:rPr>
          <w:rFonts w:ascii="Times New Roman" w:hAnsi="Times New Roman" w:cs="Times New Roman"/>
          <w:sz w:val="24"/>
          <w:szCs w:val="24"/>
        </w:rPr>
        <w:t>as they</w:t>
      </w:r>
      <w:r w:rsidR="00D77E53">
        <w:rPr>
          <w:rFonts w:ascii="Times New Roman" w:hAnsi="Times New Roman" w:cs="Times New Roman"/>
          <w:sz w:val="24"/>
          <w:szCs w:val="24"/>
        </w:rPr>
        <w:t xml:space="preserve"> shared </w:t>
      </w:r>
      <w:r w:rsidR="00646776">
        <w:rPr>
          <w:rFonts w:ascii="Times New Roman" w:hAnsi="Times New Roman" w:cs="Times New Roman"/>
          <w:sz w:val="24"/>
          <w:szCs w:val="24"/>
        </w:rPr>
        <w:t>the same religious sect</w:t>
      </w:r>
      <w:r w:rsidR="00D77E53">
        <w:rPr>
          <w:rFonts w:ascii="Times New Roman" w:hAnsi="Times New Roman" w:cs="Times New Roman"/>
          <w:sz w:val="24"/>
          <w:szCs w:val="24"/>
        </w:rPr>
        <w:t xml:space="preserve">, </w:t>
      </w:r>
      <w:r w:rsidR="00646776">
        <w:rPr>
          <w:rFonts w:ascii="Times New Roman" w:hAnsi="Times New Roman" w:cs="Times New Roman"/>
          <w:sz w:val="24"/>
          <w:szCs w:val="24"/>
        </w:rPr>
        <w:t xml:space="preserve">created </w:t>
      </w:r>
      <w:r w:rsidR="00D77E53">
        <w:rPr>
          <w:rFonts w:ascii="Times New Roman" w:hAnsi="Times New Roman" w:cs="Times New Roman"/>
          <w:sz w:val="24"/>
          <w:szCs w:val="24"/>
        </w:rPr>
        <w:t>a profitable privatized economy, and effective governance</w:t>
      </w:r>
      <w:r w:rsidR="00646776">
        <w:rPr>
          <w:rFonts w:ascii="Times New Roman" w:hAnsi="Times New Roman" w:cs="Times New Roman"/>
          <w:sz w:val="24"/>
          <w:szCs w:val="24"/>
        </w:rPr>
        <w:t>.</w:t>
      </w:r>
      <w:r w:rsidR="00D77E53">
        <w:rPr>
          <w:rStyle w:val="FootnoteReference"/>
          <w:rFonts w:ascii="Times New Roman" w:hAnsi="Times New Roman" w:cs="Times New Roman"/>
          <w:sz w:val="24"/>
          <w:szCs w:val="24"/>
        </w:rPr>
        <w:footnoteReference w:id="21"/>
      </w:r>
      <w:r w:rsidR="00D77E53">
        <w:rPr>
          <w:rFonts w:ascii="Times New Roman" w:hAnsi="Times New Roman" w:cs="Times New Roman"/>
          <w:sz w:val="24"/>
          <w:szCs w:val="24"/>
        </w:rPr>
        <w:t xml:space="preserve"> </w:t>
      </w:r>
      <w:r w:rsidR="00646776">
        <w:rPr>
          <w:rFonts w:ascii="Times New Roman" w:hAnsi="Times New Roman" w:cs="Times New Roman"/>
          <w:sz w:val="24"/>
          <w:szCs w:val="24"/>
        </w:rPr>
        <w:t xml:space="preserve">However, the </w:t>
      </w:r>
      <w:r w:rsidR="00C733DB">
        <w:rPr>
          <w:rFonts w:ascii="Times New Roman" w:hAnsi="Times New Roman" w:cs="Times New Roman"/>
          <w:sz w:val="24"/>
          <w:szCs w:val="24"/>
        </w:rPr>
        <w:t>heterodoxy</w:t>
      </w:r>
      <w:r w:rsidR="00646776">
        <w:rPr>
          <w:rFonts w:ascii="Times New Roman" w:hAnsi="Times New Roman" w:cs="Times New Roman"/>
          <w:sz w:val="24"/>
          <w:szCs w:val="24"/>
        </w:rPr>
        <w:t xml:space="preserve"> of Islam that existed within their newly conquered territory was to Seljuk rulers such as Nizam al-Mulk, a great threat to state stability and therefore </w:t>
      </w:r>
      <w:r w:rsidR="0032276D">
        <w:rPr>
          <w:rFonts w:ascii="Times New Roman" w:hAnsi="Times New Roman" w:cs="Times New Roman"/>
          <w:sz w:val="24"/>
          <w:szCs w:val="24"/>
        </w:rPr>
        <w:t>necessary to be counterattacked through religious training schools more aimed at indoctrination than explorative interpretation.</w:t>
      </w:r>
      <w:r w:rsidR="0032276D">
        <w:rPr>
          <w:rStyle w:val="FootnoteReference"/>
          <w:rFonts w:ascii="Times New Roman" w:hAnsi="Times New Roman" w:cs="Times New Roman"/>
          <w:sz w:val="24"/>
          <w:szCs w:val="24"/>
        </w:rPr>
        <w:footnoteReference w:id="22"/>
      </w:r>
      <w:r w:rsidR="00F90A2A">
        <w:rPr>
          <w:rFonts w:ascii="Times New Roman" w:hAnsi="Times New Roman" w:cs="Times New Roman"/>
          <w:sz w:val="24"/>
          <w:szCs w:val="24"/>
        </w:rPr>
        <w:t xml:space="preserve">  </w:t>
      </w:r>
    </w:p>
    <w:p w14:paraId="7656CE8F" w14:textId="5931847E" w:rsidR="00C829C0" w:rsidRDefault="0032276D" w:rsidP="001F1B6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scientific minds of the time were proponents of </w:t>
      </w:r>
      <w:r w:rsidR="00F71C71">
        <w:rPr>
          <w:rFonts w:ascii="Times New Roman" w:hAnsi="Times New Roman" w:cs="Times New Roman"/>
          <w:sz w:val="24"/>
          <w:szCs w:val="24"/>
        </w:rPr>
        <w:t xml:space="preserve"> utilizing reason, philosophy, and logic</w:t>
      </w:r>
      <w:r w:rsidR="00F71C71">
        <w:rPr>
          <w:rStyle w:val="FootnoteReference"/>
          <w:rFonts w:ascii="Times New Roman" w:hAnsi="Times New Roman" w:cs="Times New Roman"/>
          <w:sz w:val="24"/>
          <w:szCs w:val="24"/>
        </w:rPr>
        <w:footnoteReference w:id="23"/>
      </w:r>
      <w:r w:rsidR="00F71C71">
        <w:rPr>
          <w:rFonts w:ascii="Times New Roman" w:hAnsi="Times New Roman" w:cs="Times New Roman"/>
          <w:sz w:val="24"/>
          <w:szCs w:val="24"/>
        </w:rPr>
        <w:t xml:space="preserve"> to gain insight and wisdom, explore theories, and innovate, idealisms counterintuitive to the morals of orthodox Sunni principles, the intellectuals of the Golden Age stagnated their research instead of risking imprisonment for heresy.</w:t>
      </w:r>
      <w:r w:rsidR="00F71C71">
        <w:rPr>
          <w:rStyle w:val="FootnoteReference"/>
          <w:rFonts w:ascii="Times New Roman" w:hAnsi="Times New Roman" w:cs="Times New Roman"/>
          <w:sz w:val="24"/>
          <w:szCs w:val="24"/>
        </w:rPr>
        <w:footnoteReference w:id="24"/>
      </w:r>
      <w:r w:rsidR="00F71C71">
        <w:rPr>
          <w:rFonts w:ascii="Times New Roman" w:hAnsi="Times New Roman" w:cs="Times New Roman"/>
          <w:sz w:val="24"/>
          <w:szCs w:val="24"/>
        </w:rPr>
        <w:t xml:space="preserve"> </w:t>
      </w:r>
      <w:r>
        <w:rPr>
          <w:rFonts w:ascii="Times New Roman" w:hAnsi="Times New Roman" w:cs="Times New Roman"/>
          <w:sz w:val="24"/>
          <w:szCs w:val="24"/>
        </w:rPr>
        <w:t xml:space="preserve">Starr acknowledges </w:t>
      </w:r>
      <w:r w:rsidR="00F71C71">
        <w:rPr>
          <w:rFonts w:ascii="Times New Roman" w:hAnsi="Times New Roman" w:cs="Times New Roman"/>
          <w:sz w:val="24"/>
          <w:szCs w:val="24"/>
        </w:rPr>
        <w:t>that the early days of the Seljuks rulership were indeed prosperous</w:t>
      </w:r>
      <w:r w:rsidR="00F71C71">
        <w:rPr>
          <w:rStyle w:val="FootnoteReference"/>
          <w:rFonts w:ascii="Times New Roman" w:hAnsi="Times New Roman" w:cs="Times New Roman"/>
          <w:sz w:val="24"/>
          <w:szCs w:val="24"/>
        </w:rPr>
        <w:footnoteReference w:id="25"/>
      </w:r>
      <w:r w:rsidR="00F71C71">
        <w:rPr>
          <w:rFonts w:ascii="Times New Roman" w:hAnsi="Times New Roman" w:cs="Times New Roman"/>
          <w:sz w:val="24"/>
          <w:szCs w:val="24"/>
        </w:rPr>
        <w:t xml:space="preserve"> however, this did not remain so for long</w:t>
      </w:r>
      <w:r w:rsidR="00D50736">
        <w:rPr>
          <w:rFonts w:ascii="Times New Roman" w:hAnsi="Times New Roman" w:cs="Times New Roman"/>
          <w:sz w:val="24"/>
          <w:szCs w:val="24"/>
        </w:rPr>
        <w:t>, in agreement with Acemoglu and Robinson’s argument that extractive economic policies, such as the preferred iqta payment for mercenaries the Seljuks utilized, can be initially prosperous</w:t>
      </w:r>
      <w:r w:rsidR="00EF484B">
        <w:rPr>
          <w:rFonts w:ascii="Times New Roman" w:hAnsi="Times New Roman" w:cs="Times New Roman"/>
          <w:sz w:val="24"/>
          <w:szCs w:val="24"/>
        </w:rPr>
        <w:t xml:space="preserve"> but only to a select elite and a widening disparity between the increasingly power and wealthy and the rest of the citizenry would emerge.</w:t>
      </w:r>
      <w:r w:rsidR="00EF484B">
        <w:rPr>
          <w:rStyle w:val="FootnoteReference"/>
          <w:rFonts w:ascii="Times New Roman" w:hAnsi="Times New Roman" w:cs="Times New Roman"/>
          <w:sz w:val="24"/>
          <w:szCs w:val="24"/>
        </w:rPr>
        <w:footnoteReference w:id="26"/>
      </w:r>
    </w:p>
    <w:p w14:paraId="1FD77725" w14:textId="4B66A07B" w:rsidR="00F90A2A" w:rsidRDefault="00F90A2A" w:rsidP="00372CE4">
      <w:pPr>
        <w:spacing w:line="480" w:lineRule="auto"/>
        <w:rPr>
          <w:rFonts w:ascii="Times New Roman" w:hAnsi="Times New Roman" w:cs="Times New Roman"/>
          <w:sz w:val="24"/>
          <w:szCs w:val="24"/>
        </w:rPr>
      </w:pPr>
      <w:r>
        <w:rPr>
          <w:rFonts w:ascii="Times New Roman" w:hAnsi="Times New Roman" w:cs="Times New Roman"/>
          <w:sz w:val="24"/>
          <w:szCs w:val="24"/>
        </w:rPr>
        <w:tab/>
        <w:t>In summation of Starr’s argument, the blockage of free thinking led to an intellectual blockage of innovation in mathematics, literary, and scientific innovations to further the Central Asian Golden Age. We know their human capital to be their greatest asset as Starr attests cities flourished where intellectual activity thrived despite diminishing economic prosperity.</w:t>
      </w:r>
      <w:r>
        <w:rPr>
          <w:rStyle w:val="FootnoteReference"/>
          <w:rFonts w:ascii="Times New Roman" w:hAnsi="Times New Roman" w:cs="Times New Roman"/>
          <w:sz w:val="24"/>
          <w:szCs w:val="24"/>
        </w:rPr>
        <w:footnoteReference w:id="27"/>
      </w:r>
      <w:r w:rsidR="00D50736">
        <w:rPr>
          <w:rFonts w:ascii="Times New Roman" w:hAnsi="Times New Roman" w:cs="Times New Roman"/>
          <w:sz w:val="24"/>
          <w:szCs w:val="24"/>
        </w:rPr>
        <w:t xml:space="preserve"> He concludes his book by asserting that when “it [Central Asia] lost the </w:t>
      </w:r>
      <w:r w:rsidR="00C5039E">
        <w:rPr>
          <w:rFonts w:ascii="Times New Roman" w:hAnsi="Times New Roman" w:cs="Times New Roman"/>
          <w:sz w:val="24"/>
          <w:szCs w:val="24"/>
        </w:rPr>
        <w:t>ability</w:t>
      </w:r>
      <w:r w:rsidR="00D50736">
        <w:rPr>
          <w:rFonts w:ascii="Times New Roman" w:hAnsi="Times New Roman" w:cs="Times New Roman"/>
          <w:sz w:val="24"/>
          <w:szCs w:val="24"/>
        </w:rPr>
        <w:t xml:space="preserve"> to face constructively </w:t>
      </w:r>
      <w:r w:rsidR="00D50736">
        <w:rPr>
          <w:rFonts w:ascii="Times New Roman" w:hAnsi="Times New Roman" w:cs="Times New Roman"/>
          <w:sz w:val="24"/>
          <w:szCs w:val="24"/>
        </w:rPr>
        <w:lastRenderedPageBreak/>
        <w:t>what is alien [</w:t>
      </w:r>
      <w:r w:rsidR="00C5039E">
        <w:rPr>
          <w:rFonts w:ascii="Times New Roman" w:hAnsi="Times New Roman" w:cs="Times New Roman"/>
          <w:sz w:val="24"/>
          <w:szCs w:val="24"/>
        </w:rPr>
        <w:t>openness</w:t>
      </w:r>
      <w:r w:rsidR="00D50736">
        <w:rPr>
          <w:rFonts w:ascii="Times New Roman" w:hAnsi="Times New Roman" w:cs="Times New Roman"/>
          <w:sz w:val="24"/>
          <w:szCs w:val="24"/>
        </w:rPr>
        <w:t xml:space="preserve"> to the world] and to turn it into pearls, its civilization went into decline.”</w:t>
      </w:r>
      <w:r w:rsidR="00D50736">
        <w:rPr>
          <w:rStyle w:val="FootnoteReference"/>
          <w:rFonts w:ascii="Times New Roman" w:hAnsi="Times New Roman" w:cs="Times New Roman"/>
          <w:sz w:val="24"/>
          <w:szCs w:val="24"/>
        </w:rPr>
        <w:footnoteReference w:id="28"/>
      </w:r>
    </w:p>
    <w:p w14:paraId="3B276AFF" w14:textId="77777777" w:rsidR="001F1B60" w:rsidRDefault="001F1B60" w:rsidP="00372CE4">
      <w:pPr>
        <w:spacing w:line="480" w:lineRule="auto"/>
        <w:rPr>
          <w:rFonts w:ascii="Times New Roman" w:hAnsi="Times New Roman" w:cs="Times New Roman"/>
          <w:sz w:val="24"/>
          <w:szCs w:val="24"/>
        </w:rPr>
      </w:pPr>
    </w:p>
    <w:p w14:paraId="6781E229" w14:textId="29A2B8E1" w:rsidR="001F1B60" w:rsidRPr="006100E6" w:rsidRDefault="001F1B60" w:rsidP="001F1B60">
      <w:pPr>
        <w:spacing w:line="480" w:lineRule="auto"/>
        <w:rPr>
          <w:rFonts w:ascii="Times New Roman" w:hAnsi="Times New Roman" w:cs="Times New Roman"/>
          <w:b/>
          <w:bCs/>
          <w:sz w:val="24"/>
          <w:szCs w:val="24"/>
        </w:rPr>
      </w:pPr>
      <w:r w:rsidRPr="006100E6">
        <w:rPr>
          <w:rFonts w:ascii="Times New Roman" w:hAnsi="Times New Roman" w:cs="Times New Roman"/>
          <w:b/>
          <w:bCs/>
          <w:sz w:val="24"/>
          <w:szCs w:val="24"/>
        </w:rPr>
        <w:t>Islam, Authoritarianism, and Underdevelopment</w:t>
      </w:r>
      <w:r w:rsidR="005A6B58">
        <w:rPr>
          <w:rFonts w:ascii="Times New Roman" w:hAnsi="Times New Roman" w:cs="Times New Roman"/>
          <w:b/>
          <w:bCs/>
          <w:sz w:val="24"/>
          <w:szCs w:val="24"/>
        </w:rPr>
        <w:t>, the Failures of the Ottoman</w:t>
      </w:r>
      <w:r w:rsidRPr="006100E6">
        <w:rPr>
          <w:rFonts w:ascii="Times New Roman" w:hAnsi="Times New Roman" w:cs="Times New Roman"/>
          <w:b/>
          <w:bCs/>
          <w:sz w:val="24"/>
          <w:szCs w:val="24"/>
        </w:rPr>
        <w:t>:</w:t>
      </w:r>
    </w:p>
    <w:p w14:paraId="2E93FCB8" w14:textId="085EE300" w:rsidR="00372DDF" w:rsidRDefault="00126EBE" w:rsidP="00126EBE">
      <w:pPr>
        <w:spacing w:line="480" w:lineRule="auto"/>
        <w:ind w:firstLine="720"/>
        <w:rPr>
          <w:rFonts w:ascii="Times New Roman" w:hAnsi="Times New Roman" w:cs="Times New Roman"/>
          <w:sz w:val="24"/>
          <w:szCs w:val="24"/>
        </w:rPr>
      </w:pPr>
      <w:r w:rsidRPr="00126EBE">
        <w:rPr>
          <w:rFonts w:ascii="Times New Roman" w:hAnsi="Times New Roman" w:cs="Times New Roman"/>
          <w:sz w:val="24"/>
          <w:szCs w:val="24"/>
        </w:rPr>
        <w:t>Kuru’s book most closely aligns with the arguments presented with Acemoglu and Robinson, that the institutions of the Ottoman, Safavid, and Mughal Empires</w:t>
      </w:r>
      <w:r w:rsidR="00B20D5F">
        <w:rPr>
          <w:rFonts w:ascii="Times New Roman" w:hAnsi="Times New Roman" w:cs="Times New Roman"/>
          <w:sz w:val="24"/>
          <w:szCs w:val="24"/>
        </w:rPr>
        <w:t xml:space="preserve">, most importantly the Seljuk inspired ulema-state alliance, </w:t>
      </w:r>
      <w:r w:rsidRPr="00126EBE">
        <w:rPr>
          <w:rFonts w:ascii="Times New Roman" w:hAnsi="Times New Roman" w:cs="Times New Roman"/>
          <w:sz w:val="24"/>
          <w:szCs w:val="24"/>
        </w:rPr>
        <w:t>were the cause of economic stagnation in Central Asia through the symbiotic ulema-state alliance.</w:t>
      </w:r>
      <w:r w:rsidR="00B20D5F">
        <w:rPr>
          <w:rStyle w:val="FootnoteReference"/>
          <w:rFonts w:ascii="Times New Roman" w:hAnsi="Times New Roman" w:cs="Times New Roman"/>
          <w:sz w:val="24"/>
          <w:szCs w:val="24"/>
        </w:rPr>
        <w:footnoteReference w:id="29"/>
      </w:r>
      <w:r w:rsidR="00B20D5F">
        <w:rPr>
          <w:rFonts w:ascii="Times New Roman" w:hAnsi="Times New Roman" w:cs="Times New Roman"/>
          <w:sz w:val="24"/>
          <w:szCs w:val="24"/>
        </w:rPr>
        <w:t xml:space="preserve"> It is Kuru’s argument that leaving merchants out of decision making though commerce served as an integral part of the economic system for each empire, and apathetic attitude towards intellectual advancement within and without </w:t>
      </w:r>
      <w:r w:rsidR="00905DB8">
        <w:rPr>
          <w:rFonts w:ascii="Times New Roman" w:hAnsi="Times New Roman" w:cs="Times New Roman"/>
          <w:sz w:val="24"/>
          <w:szCs w:val="24"/>
        </w:rPr>
        <w:t>e</w:t>
      </w:r>
      <w:r w:rsidR="00B20D5F">
        <w:rPr>
          <w:rFonts w:ascii="Times New Roman" w:hAnsi="Times New Roman" w:cs="Times New Roman"/>
          <w:sz w:val="24"/>
          <w:szCs w:val="24"/>
        </w:rPr>
        <w:t>mpire borders</w:t>
      </w:r>
      <w:r w:rsidR="00905DB8">
        <w:rPr>
          <w:rStyle w:val="FootnoteReference"/>
          <w:rFonts w:ascii="Times New Roman" w:hAnsi="Times New Roman" w:cs="Times New Roman"/>
          <w:sz w:val="24"/>
          <w:szCs w:val="24"/>
        </w:rPr>
        <w:footnoteReference w:id="30"/>
      </w:r>
      <w:r w:rsidR="00B20D5F">
        <w:rPr>
          <w:rFonts w:ascii="Times New Roman" w:hAnsi="Times New Roman" w:cs="Times New Roman"/>
          <w:sz w:val="24"/>
          <w:szCs w:val="24"/>
        </w:rPr>
        <w:t xml:space="preserve">, that created the vicious cycle still seen today </w:t>
      </w:r>
      <w:r w:rsidR="00905DB8">
        <w:rPr>
          <w:rFonts w:ascii="Times New Roman" w:hAnsi="Times New Roman" w:cs="Times New Roman"/>
          <w:sz w:val="24"/>
          <w:szCs w:val="24"/>
        </w:rPr>
        <w:t>in modern Turkey and Tunisia despite the secularization of both nations.</w:t>
      </w:r>
      <w:r w:rsidR="00905DB8">
        <w:rPr>
          <w:rStyle w:val="FootnoteReference"/>
          <w:rFonts w:ascii="Times New Roman" w:hAnsi="Times New Roman" w:cs="Times New Roman"/>
          <w:sz w:val="24"/>
          <w:szCs w:val="24"/>
        </w:rPr>
        <w:footnoteReference w:id="31"/>
      </w:r>
    </w:p>
    <w:p w14:paraId="3B373724" w14:textId="0FF9BBD0" w:rsidR="00905DB8" w:rsidRDefault="00905DB8" w:rsidP="00905DB8">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Acemoglu and Robinson definition of the vicious circle is as follows:</w:t>
      </w:r>
    </w:p>
    <w:p w14:paraId="31BBDB06" w14:textId="77777777" w:rsidR="00905DB8" w:rsidRDefault="00905DB8" w:rsidP="00905DB8">
      <w:pPr>
        <w:spacing w:line="240" w:lineRule="auto"/>
        <w:ind w:firstLine="720"/>
        <w:contextualSpacing/>
        <w:rPr>
          <w:rFonts w:ascii="Times New Roman" w:hAnsi="Times New Roman" w:cs="Times New Roman"/>
          <w:sz w:val="24"/>
          <w:szCs w:val="24"/>
        </w:rPr>
      </w:pPr>
    </w:p>
    <w:p w14:paraId="49590181"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Extractive political institutions lead to extractive economic</w:t>
      </w:r>
    </w:p>
    <w:p w14:paraId="769B88A1"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institutions, which enrich a few at the expense of many.</w:t>
      </w:r>
    </w:p>
    <w:p w14:paraId="47D56F5D"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Those who benefit from extractive institutions thus have the</w:t>
      </w:r>
    </w:p>
    <w:p w14:paraId="621E2BC2"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resources to build their (private) armies and mercenaries,</w:t>
      </w:r>
    </w:p>
    <w:p w14:paraId="3A819DAC"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 xml:space="preserve">to buy their judges, and to rig their elections </w:t>
      </w:r>
      <w:proofErr w:type="gramStart"/>
      <w:r w:rsidRPr="00905DB8">
        <w:rPr>
          <w:rFonts w:ascii="Times New Roman" w:hAnsi="Times New Roman" w:cs="Times New Roman"/>
          <w:i/>
          <w:iCs/>
          <w:sz w:val="24"/>
          <w:szCs w:val="24"/>
        </w:rPr>
        <w:t>in order to</w:t>
      </w:r>
      <w:proofErr w:type="gramEnd"/>
    </w:p>
    <w:p w14:paraId="198AB46A"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remain in power. They also have every interest in defending</w:t>
      </w:r>
    </w:p>
    <w:p w14:paraId="793813AE"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the system. Therefore, extractive economic institutions</w:t>
      </w:r>
    </w:p>
    <w:p w14:paraId="7757FDDB"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create the platform for extractive political institutions to</w:t>
      </w:r>
    </w:p>
    <w:p w14:paraId="05B2C04F"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persist. Power is valuable in regimes with extractive</w:t>
      </w:r>
    </w:p>
    <w:p w14:paraId="35885304" w14:textId="77777777" w:rsidR="00905DB8" w:rsidRP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 xml:space="preserve">political </w:t>
      </w:r>
      <w:proofErr w:type="gramStart"/>
      <w:r w:rsidRPr="00905DB8">
        <w:rPr>
          <w:rFonts w:ascii="Times New Roman" w:hAnsi="Times New Roman" w:cs="Times New Roman"/>
          <w:i/>
          <w:iCs/>
          <w:sz w:val="24"/>
          <w:szCs w:val="24"/>
        </w:rPr>
        <w:t>institutions, because</w:t>
      </w:r>
      <w:proofErr w:type="gramEnd"/>
      <w:r w:rsidRPr="00905DB8">
        <w:rPr>
          <w:rFonts w:ascii="Times New Roman" w:hAnsi="Times New Roman" w:cs="Times New Roman"/>
          <w:i/>
          <w:iCs/>
          <w:sz w:val="24"/>
          <w:szCs w:val="24"/>
        </w:rPr>
        <w:t xml:space="preserve"> power is unchecked and</w:t>
      </w:r>
    </w:p>
    <w:p w14:paraId="15D5DFC7" w14:textId="7C3E6D5D" w:rsidR="00905DB8" w:rsidRDefault="00905DB8" w:rsidP="00905DB8">
      <w:pPr>
        <w:spacing w:line="240" w:lineRule="auto"/>
        <w:ind w:left="720" w:firstLine="720"/>
        <w:contextualSpacing/>
        <w:rPr>
          <w:rFonts w:ascii="Times New Roman" w:hAnsi="Times New Roman" w:cs="Times New Roman"/>
          <w:i/>
          <w:iCs/>
          <w:sz w:val="24"/>
          <w:szCs w:val="24"/>
        </w:rPr>
      </w:pPr>
      <w:r w:rsidRPr="00905DB8">
        <w:rPr>
          <w:rFonts w:ascii="Times New Roman" w:hAnsi="Times New Roman" w:cs="Times New Roman"/>
          <w:i/>
          <w:iCs/>
          <w:sz w:val="24"/>
          <w:szCs w:val="24"/>
        </w:rPr>
        <w:t>brings economic riches.</w:t>
      </w:r>
      <w:r>
        <w:rPr>
          <w:rStyle w:val="FootnoteReference"/>
          <w:rFonts w:ascii="Times New Roman" w:hAnsi="Times New Roman" w:cs="Times New Roman"/>
          <w:i/>
          <w:iCs/>
          <w:sz w:val="24"/>
          <w:szCs w:val="24"/>
        </w:rPr>
        <w:footnoteReference w:id="32"/>
      </w:r>
    </w:p>
    <w:p w14:paraId="01F685C5" w14:textId="77777777" w:rsidR="00CF4747" w:rsidRDefault="00CF4747" w:rsidP="00905DB8">
      <w:pPr>
        <w:spacing w:line="240" w:lineRule="auto"/>
        <w:ind w:left="720" w:firstLine="720"/>
        <w:contextualSpacing/>
        <w:rPr>
          <w:rFonts w:ascii="Times New Roman" w:hAnsi="Times New Roman" w:cs="Times New Roman"/>
          <w:i/>
          <w:iCs/>
          <w:sz w:val="24"/>
          <w:szCs w:val="24"/>
        </w:rPr>
      </w:pPr>
    </w:p>
    <w:p w14:paraId="2A48CC70" w14:textId="2829D4B1" w:rsidR="00CF4747" w:rsidRDefault="00CF4747" w:rsidP="00CF4747">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This applies to Kuru’s definition of the ulema-state alliance and its impact of empire territories. </w:t>
      </w:r>
      <w:r w:rsidR="00013D91">
        <w:rPr>
          <w:rFonts w:ascii="Times New Roman" w:hAnsi="Times New Roman" w:cs="Times New Roman"/>
          <w:sz w:val="24"/>
          <w:szCs w:val="24"/>
        </w:rPr>
        <w:t>State centralization through the consolidation (and more often defeat) of neighboring territories, endorsed by complementary religious leaders,</w:t>
      </w:r>
      <w:r w:rsidR="00013D91">
        <w:rPr>
          <w:rStyle w:val="FootnoteReference"/>
          <w:rFonts w:ascii="Times New Roman" w:hAnsi="Times New Roman" w:cs="Times New Roman"/>
          <w:sz w:val="24"/>
          <w:szCs w:val="24"/>
        </w:rPr>
        <w:footnoteReference w:id="33"/>
      </w:r>
      <w:r w:rsidR="007B56E9">
        <w:rPr>
          <w:rFonts w:ascii="Times New Roman" w:hAnsi="Times New Roman" w:cs="Times New Roman"/>
          <w:sz w:val="24"/>
          <w:szCs w:val="24"/>
        </w:rPr>
        <w:t xml:space="preserve"> led to an emphasis on military might to retain power, and state sponsorship of the religious leaders as propogandist to retain legitimacy in the eyes of citizens.</w:t>
      </w:r>
      <w:r w:rsidR="007B56E9">
        <w:rPr>
          <w:rStyle w:val="FootnoteReference"/>
          <w:rFonts w:ascii="Times New Roman" w:hAnsi="Times New Roman" w:cs="Times New Roman"/>
          <w:sz w:val="24"/>
          <w:szCs w:val="24"/>
        </w:rPr>
        <w:footnoteReference w:id="34"/>
      </w:r>
      <w:r w:rsidR="007B56E9">
        <w:rPr>
          <w:rFonts w:ascii="Times New Roman" w:hAnsi="Times New Roman" w:cs="Times New Roman"/>
          <w:sz w:val="24"/>
          <w:szCs w:val="24"/>
        </w:rPr>
        <w:t xml:space="preserve"> Because the relationship between state governance and religion sponsorship rely heavily on their symbiosis, any institution or class that may affect one or the other must be marginalized.</w:t>
      </w:r>
    </w:p>
    <w:p w14:paraId="67D14412" w14:textId="760E20CC" w:rsidR="007B56E9" w:rsidRDefault="007B56E9" w:rsidP="00CF474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To further explain how extractive the ulema-state alliance was, is, and has become, </w:t>
      </w:r>
      <w:r w:rsidR="00F91551">
        <w:rPr>
          <w:rFonts w:ascii="Times New Roman" w:hAnsi="Times New Roman" w:cs="Times New Roman"/>
          <w:sz w:val="24"/>
          <w:szCs w:val="24"/>
        </w:rPr>
        <w:t xml:space="preserve">Kuru focuses on the role the ulema played in creating and enforcing state policy. </w:t>
      </w:r>
      <w:r w:rsidR="009621F8">
        <w:rPr>
          <w:rFonts w:ascii="Times New Roman" w:hAnsi="Times New Roman" w:cs="Times New Roman"/>
          <w:sz w:val="24"/>
          <w:szCs w:val="24"/>
        </w:rPr>
        <w:t>With state support, Kuru alleges the ulema has weakened the probability to an economic and intellectual class reemerging throughout Central Asia by imposing religious based restrictions to dissuade citizens from pursuing intellectual and entrepreneurial endeavors.</w:t>
      </w:r>
      <w:r w:rsidR="009621F8">
        <w:rPr>
          <w:rStyle w:val="FootnoteReference"/>
          <w:rFonts w:ascii="Times New Roman" w:hAnsi="Times New Roman" w:cs="Times New Roman"/>
          <w:sz w:val="24"/>
          <w:szCs w:val="24"/>
        </w:rPr>
        <w:footnoteReference w:id="35"/>
      </w:r>
      <w:r w:rsidR="009621F8">
        <w:rPr>
          <w:rFonts w:ascii="Times New Roman" w:hAnsi="Times New Roman" w:cs="Times New Roman"/>
          <w:sz w:val="24"/>
          <w:szCs w:val="24"/>
        </w:rPr>
        <w:t xml:space="preserve"> </w:t>
      </w:r>
      <w:r w:rsidR="00457ADA">
        <w:rPr>
          <w:rFonts w:ascii="Times New Roman" w:hAnsi="Times New Roman" w:cs="Times New Roman"/>
          <w:sz w:val="24"/>
          <w:szCs w:val="24"/>
        </w:rPr>
        <w:t xml:space="preserve"> He describes the ulema’s role in the Ottoman Empire as sole </w:t>
      </w:r>
      <w:r w:rsidR="001C6AFB">
        <w:rPr>
          <w:rFonts w:ascii="Times New Roman" w:hAnsi="Times New Roman" w:cs="Times New Roman"/>
          <w:sz w:val="24"/>
          <w:szCs w:val="24"/>
        </w:rPr>
        <w:t>interpreters</w:t>
      </w:r>
      <w:r w:rsidR="00457ADA">
        <w:rPr>
          <w:rFonts w:ascii="Times New Roman" w:hAnsi="Times New Roman" w:cs="Times New Roman"/>
          <w:sz w:val="24"/>
          <w:szCs w:val="24"/>
        </w:rPr>
        <w:t xml:space="preserve"> of Islam and therefore sole religious scholars, legislators and jurists, </w:t>
      </w:r>
      <w:r w:rsidR="001C6AFB">
        <w:rPr>
          <w:rFonts w:ascii="Times New Roman" w:hAnsi="Times New Roman" w:cs="Times New Roman"/>
          <w:sz w:val="24"/>
          <w:szCs w:val="24"/>
        </w:rPr>
        <w:t>judicial</w:t>
      </w:r>
      <w:r w:rsidR="00457ADA">
        <w:rPr>
          <w:rFonts w:ascii="Times New Roman" w:hAnsi="Times New Roman" w:cs="Times New Roman"/>
          <w:sz w:val="24"/>
          <w:szCs w:val="24"/>
        </w:rPr>
        <w:t>, and educators.</w:t>
      </w:r>
      <w:r w:rsidR="00457ADA">
        <w:rPr>
          <w:rStyle w:val="FootnoteReference"/>
          <w:rFonts w:ascii="Times New Roman" w:hAnsi="Times New Roman" w:cs="Times New Roman"/>
          <w:sz w:val="24"/>
          <w:szCs w:val="24"/>
        </w:rPr>
        <w:footnoteReference w:id="36"/>
      </w:r>
      <w:r w:rsidR="00457ADA">
        <w:rPr>
          <w:rFonts w:ascii="Times New Roman" w:hAnsi="Times New Roman" w:cs="Times New Roman"/>
          <w:sz w:val="24"/>
          <w:szCs w:val="24"/>
        </w:rPr>
        <w:t xml:space="preserve"> </w:t>
      </w:r>
      <w:r w:rsidR="009621F8">
        <w:rPr>
          <w:rFonts w:ascii="Times New Roman" w:hAnsi="Times New Roman" w:cs="Times New Roman"/>
          <w:sz w:val="24"/>
          <w:szCs w:val="24"/>
        </w:rPr>
        <w:t xml:space="preserve">To legitimize this claim, Kuru focuses on why Europe was successful in establishing maritime trade where the Ottoman empire </w:t>
      </w:r>
      <w:r w:rsidR="00457ADA">
        <w:rPr>
          <w:rFonts w:ascii="Times New Roman" w:hAnsi="Times New Roman" w:cs="Times New Roman"/>
          <w:sz w:val="24"/>
          <w:szCs w:val="24"/>
        </w:rPr>
        <w:t>lagged</w:t>
      </w:r>
      <w:r w:rsidR="009621F8">
        <w:rPr>
          <w:rFonts w:ascii="Times New Roman" w:hAnsi="Times New Roman" w:cs="Times New Roman"/>
          <w:sz w:val="24"/>
          <w:szCs w:val="24"/>
        </w:rPr>
        <w:t xml:space="preserve">. Ghazali’s </w:t>
      </w:r>
      <w:r w:rsidR="009621F8" w:rsidRPr="00457ADA">
        <w:rPr>
          <w:rFonts w:ascii="Times New Roman" w:hAnsi="Times New Roman" w:cs="Times New Roman"/>
          <w:i/>
          <w:iCs/>
          <w:sz w:val="24"/>
          <w:szCs w:val="24"/>
        </w:rPr>
        <w:t>Revival</w:t>
      </w:r>
      <w:r w:rsidR="009621F8">
        <w:rPr>
          <w:rFonts w:ascii="Times New Roman" w:hAnsi="Times New Roman" w:cs="Times New Roman"/>
          <w:sz w:val="24"/>
          <w:szCs w:val="24"/>
        </w:rPr>
        <w:t>, an integral text for Sunni leadership</w:t>
      </w:r>
      <w:r w:rsidR="00457ADA">
        <w:rPr>
          <w:rFonts w:ascii="Times New Roman" w:hAnsi="Times New Roman" w:cs="Times New Roman"/>
          <w:sz w:val="24"/>
          <w:szCs w:val="24"/>
        </w:rPr>
        <w:t>,</w:t>
      </w:r>
      <w:r w:rsidR="009621F8">
        <w:rPr>
          <w:rFonts w:ascii="Times New Roman" w:hAnsi="Times New Roman" w:cs="Times New Roman"/>
          <w:sz w:val="24"/>
          <w:szCs w:val="24"/>
        </w:rPr>
        <w:t xml:space="preserve"> discouraged pursuing excessive profits in trade and including a false hadith to discourage maritime commerce.</w:t>
      </w:r>
      <w:r w:rsidR="009621F8">
        <w:rPr>
          <w:rStyle w:val="FootnoteReference"/>
          <w:rFonts w:ascii="Times New Roman" w:hAnsi="Times New Roman" w:cs="Times New Roman"/>
          <w:sz w:val="24"/>
          <w:szCs w:val="24"/>
        </w:rPr>
        <w:footnoteReference w:id="37"/>
      </w:r>
      <w:r w:rsidR="00457ADA">
        <w:rPr>
          <w:rFonts w:ascii="Times New Roman" w:hAnsi="Times New Roman" w:cs="Times New Roman"/>
          <w:sz w:val="24"/>
          <w:szCs w:val="24"/>
        </w:rPr>
        <w:t xml:space="preserve"> With no power for new interpretations of the text, and little power to contest, all forms of trade beside maritime stagnated.</w:t>
      </w:r>
    </w:p>
    <w:p w14:paraId="5DF84824" w14:textId="013C35EB" w:rsidR="00457ADA" w:rsidRPr="00CF4747" w:rsidRDefault="00457ADA" w:rsidP="00CF4747">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In Europe, the rising strength of the commerce and intellectual classes successfully challenged the martial and religious state hegemony before the Age of Enlightenment.</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The ulema-state alliance successfully mitigated having the same competition by consolidating power, state centralization of land, controlling the means and factors for production, retaining an expansive portion of available capital, and controlling profits</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w:t>
      </w:r>
      <w:r w:rsidR="001C6AFB">
        <w:rPr>
          <w:rFonts w:ascii="Times New Roman" w:hAnsi="Times New Roman" w:cs="Times New Roman"/>
          <w:sz w:val="24"/>
          <w:szCs w:val="24"/>
        </w:rPr>
        <w:t>in regard to merchants, and asserting education focus mainly on religious studies to stifle the intellectuals.</w:t>
      </w:r>
      <w:r w:rsidR="001C6AFB">
        <w:rPr>
          <w:rStyle w:val="FootnoteReference"/>
          <w:rFonts w:ascii="Times New Roman" w:hAnsi="Times New Roman" w:cs="Times New Roman"/>
          <w:sz w:val="24"/>
          <w:szCs w:val="24"/>
        </w:rPr>
        <w:footnoteReference w:id="40"/>
      </w:r>
      <w:r w:rsidR="001C6AFB">
        <w:rPr>
          <w:rFonts w:ascii="Times New Roman" w:hAnsi="Times New Roman" w:cs="Times New Roman"/>
          <w:sz w:val="24"/>
          <w:szCs w:val="24"/>
        </w:rPr>
        <w:t xml:space="preserve"> While secularization was achieved by many territories after the fall of the Ottoman empire in the 20</w:t>
      </w:r>
      <w:r w:rsidR="001C6AFB" w:rsidRPr="001C6AFB">
        <w:rPr>
          <w:rFonts w:ascii="Times New Roman" w:hAnsi="Times New Roman" w:cs="Times New Roman"/>
          <w:sz w:val="24"/>
          <w:szCs w:val="24"/>
          <w:vertAlign w:val="superscript"/>
        </w:rPr>
        <w:t>th</w:t>
      </w:r>
      <w:r w:rsidR="001C6AFB">
        <w:rPr>
          <w:rFonts w:ascii="Times New Roman" w:hAnsi="Times New Roman" w:cs="Times New Roman"/>
          <w:sz w:val="24"/>
          <w:szCs w:val="24"/>
        </w:rPr>
        <w:t xml:space="preserve"> century, over half a millennium of ulema-state rulership still echoes today with current legislation still disallowing particular economic and intellectual careers.</w:t>
      </w:r>
      <w:r w:rsidR="001C6AFB">
        <w:rPr>
          <w:rStyle w:val="FootnoteReference"/>
          <w:rFonts w:ascii="Times New Roman" w:hAnsi="Times New Roman" w:cs="Times New Roman"/>
          <w:sz w:val="24"/>
          <w:szCs w:val="24"/>
        </w:rPr>
        <w:footnoteReference w:id="41"/>
      </w:r>
    </w:p>
    <w:p w14:paraId="105FE52B" w14:textId="77777777" w:rsidR="00126EBE" w:rsidRDefault="00126EBE" w:rsidP="00372CE4">
      <w:pPr>
        <w:spacing w:line="480" w:lineRule="auto"/>
        <w:rPr>
          <w:rFonts w:ascii="Times New Roman" w:hAnsi="Times New Roman" w:cs="Times New Roman"/>
          <w:b/>
          <w:bCs/>
          <w:sz w:val="24"/>
          <w:szCs w:val="24"/>
        </w:rPr>
      </w:pPr>
    </w:p>
    <w:p w14:paraId="66CDC07D" w14:textId="0E0FD4B5" w:rsidR="001F1B60" w:rsidRPr="005A6B58" w:rsidRDefault="005A6B58" w:rsidP="00372CE4">
      <w:pPr>
        <w:spacing w:line="480" w:lineRule="auto"/>
        <w:rPr>
          <w:rFonts w:ascii="Times New Roman" w:hAnsi="Times New Roman" w:cs="Times New Roman"/>
          <w:b/>
          <w:bCs/>
          <w:sz w:val="24"/>
          <w:szCs w:val="24"/>
        </w:rPr>
      </w:pPr>
      <w:r w:rsidRPr="005A6B58">
        <w:rPr>
          <w:rFonts w:ascii="Times New Roman" w:hAnsi="Times New Roman" w:cs="Times New Roman"/>
          <w:b/>
          <w:bCs/>
          <w:sz w:val="24"/>
          <w:szCs w:val="24"/>
        </w:rPr>
        <w:t>A Culture of Growth</w:t>
      </w:r>
      <w:r>
        <w:rPr>
          <w:rFonts w:ascii="Times New Roman" w:hAnsi="Times New Roman" w:cs="Times New Roman"/>
          <w:b/>
          <w:bCs/>
          <w:sz w:val="24"/>
          <w:szCs w:val="24"/>
        </w:rPr>
        <w:t>,</w:t>
      </w:r>
      <w:r w:rsidRPr="005A6B58">
        <w:rPr>
          <w:rFonts w:ascii="Times New Roman" w:hAnsi="Times New Roman" w:cs="Times New Roman"/>
          <w:b/>
          <w:bCs/>
          <w:sz w:val="24"/>
          <w:szCs w:val="24"/>
        </w:rPr>
        <w:t xml:space="preserve"> </w:t>
      </w:r>
      <w:r>
        <w:rPr>
          <w:rFonts w:ascii="Times New Roman" w:hAnsi="Times New Roman" w:cs="Times New Roman"/>
          <w:b/>
          <w:bCs/>
          <w:sz w:val="24"/>
          <w:szCs w:val="24"/>
        </w:rPr>
        <w:t>t</w:t>
      </w:r>
      <w:r w:rsidRPr="005A6B58">
        <w:rPr>
          <w:rFonts w:ascii="Times New Roman" w:hAnsi="Times New Roman" w:cs="Times New Roman"/>
          <w:b/>
          <w:bCs/>
          <w:sz w:val="24"/>
          <w:szCs w:val="24"/>
        </w:rPr>
        <w:t>he Anomaly of the Age of Enlightenment</w:t>
      </w:r>
      <w:r>
        <w:rPr>
          <w:rFonts w:ascii="Times New Roman" w:hAnsi="Times New Roman" w:cs="Times New Roman"/>
          <w:b/>
          <w:bCs/>
          <w:sz w:val="24"/>
          <w:szCs w:val="24"/>
        </w:rPr>
        <w:t>:</w:t>
      </w:r>
    </w:p>
    <w:bookmarkEnd w:id="1"/>
    <w:p w14:paraId="381B6D5A" w14:textId="4F3CF913" w:rsidR="00372CE4" w:rsidRPr="006C1E48" w:rsidRDefault="00903948" w:rsidP="00372CE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Mokyr emerges as the most vocal proponent of institutionalism as the best reasoning to explain sustained economic development. </w:t>
      </w:r>
      <w:r w:rsidR="006C1E48">
        <w:rPr>
          <w:rFonts w:ascii="Times New Roman" w:hAnsi="Times New Roman" w:cs="Times New Roman"/>
          <w:sz w:val="24"/>
          <w:szCs w:val="24"/>
        </w:rPr>
        <w:t>While it is very clear Acemoglu and Robinson hold Mokyr and his earlier works in high regard, as they credit him with shaping their views and encouraging their research,</w:t>
      </w:r>
      <w:r w:rsidR="006C1E48">
        <w:rPr>
          <w:rStyle w:val="FootnoteReference"/>
          <w:rFonts w:ascii="Times New Roman" w:hAnsi="Times New Roman" w:cs="Times New Roman"/>
          <w:sz w:val="24"/>
          <w:szCs w:val="24"/>
        </w:rPr>
        <w:footnoteReference w:id="42"/>
      </w:r>
      <w:r w:rsidR="006C1E48">
        <w:rPr>
          <w:rFonts w:ascii="Times New Roman" w:hAnsi="Times New Roman" w:cs="Times New Roman"/>
          <w:sz w:val="24"/>
          <w:szCs w:val="24"/>
        </w:rPr>
        <w:t xml:space="preserve"> </w:t>
      </w:r>
      <w:r w:rsidR="006C1E48" w:rsidRPr="006C1E48">
        <w:rPr>
          <w:rFonts w:ascii="Times New Roman" w:hAnsi="Times New Roman" w:cs="Times New Roman"/>
          <w:i/>
          <w:iCs/>
          <w:sz w:val="24"/>
          <w:szCs w:val="24"/>
        </w:rPr>
        <w:t>A Culture of Growth</w:t>
      </w:r>
      <w:r w:rsidR="006C1E48">
        <w:rPr>
          <w:rFonts w:ascii="Times New Roman" w:hAnsi="Times New Roman" w:cs="Times New Roman"/>
          <w:i/>
          <w:iCs/>
          <w:sz w:val="24"/>
          <w:szCs w:val="24"/>
        </w:rPr>
        <w:t xml:space="preserve"> </w:t>
      </w:r>
      <w:r w:rsidR="006C1E48">
        <w:rPr>
          <w:rFonts w:ascii="Times New Roman" w:hAnsi="Times New Roman" w:cs="Times New Roman"/>
          <w:sz w:val="24"/>
          <w:szCs w:val="24"/>
        </w:rPr>
        <w:t>serves as a cross between a critique and rebuke of Acemoglu and Robinson’s institutionalism theory</w:t>
      </w:r>
      <w:r w:rsidR="00F8350A">
        <w:rPr>
          <w:rFonts w:ascii="Times New Roman" w:hAnsi="Times New Roman" w:cs="Times New Roman"/>
          <w:sz w:val="24"/>
          <w:szCs w:val="24"/>
        </w:rPr>
        <w:t>, as “better markets, more cooperative behaviors, and more efficient allocations simply do not in themselves account for modern economic growth</w:t>
      </w:r>
      <w:r w:rsidR="006C1E48">
        <w:rPr>
          <w:rFonts w:ascii="Times New Roman" w:hAnsi="Times New Roman" w:cs="Times New Roman"/>
          <w:sz w:val="24"/>
          <w:szCs w:val="24"/>
        </w:rPr>
        <w:t>.</w:t>
      </w:r>
      <w:r w:rsidR="00F8350A">
        <w:rPr>
          <w:rFonts w:ascii="Times New Roman" w:hAnsi="Times New Roman" w:cs="Times New Roman"/>
          <w:sz w:val="24"/>
          <w:szCs w:val="24"/>
        </w:rPr>
        <w:t>”</w:t>
      </w:r>
      <w:r w:rsidR="00F8350A">
        <w:rPr>
          <w:rStyle w:val="FootnoteReference"/>
          <w:rFonts w:ascii="Times New Roman" w:hAnsi="Times New Roman" w:cs="Times New Roman"/>
          <w:sz w:val="24"/>
          <w:szCs w:val="24"/>
        </w:rPr>
        <w:footnoteReference w:id="43"/>
      </w:r>
      <w:r w:rsidR="00F574EC">
        <w:rPr>
          <w:rFonts w:ascii="Times New Roman" w:hAnsi="Times New Roman" w:cs="Times New Roman"/>
          <w:sz w:val="24"/>
          <w:szCs w:val="24"/>
        </w:rPr>
        <w:t xml:space="preserve"> The Industrial Revolution, often herald as the emergence of modern economic development and great economic institutions,</w:t>
      </w:r>
      <w:r w:rsidR="00F574EC">
        <w:rPr>
          <w:rStyle w:val="FootnoteReference"/>
          <w:rFonts w:ascii="Times New Roman" w:hAnsi="Times New Roman" w:cs="Times New Roman"/>
          <w:sz w:val="24"/>
          <w:szCs w:val="24"/>
        </w:rPr>
        <w:footnoteReference w:id="44"/>
      </w:r>
      <w:r w:rsidR="00F574EC">
        <w:rPr>
          <w:rFonts w:ascii="Times New Roman" w:hAnsi="Times New Roman" w:cs="Times New Roman"/>
          <w:sz w:val="24"/>
          <w:szCs w:val="24"/>
        </w:rPr>
        <w:t xml:space="preserve"> was not birthed nor stimulated </w:t>
      </w:r>
      <w:r w:rsidR="00F574EC">
        <w:rPr>
          <w:rFonts w:ascii="Times New Roman" w:hAnsi="Times New Roman" w:cs="Times New Roman"/>
          <w:sz w:val="24"/>
          <w:szCs w:val="24"/>
        </w:rPr>
        <w:lastRenderedPageBreak/>
        <w:t>from great political and economic policy according to Mokyr, but from the cultural foundations establishing themselves within modern England during the 16</w:t>
      </w:r>
      <w:r w:rsidR="00F574EC" w:rsidRPr="00F574EC">
        <w:rPr>
          <w:rFonts w:ascii="Times New Roman" w:hAnsi="Times New Roman" w:cs="Times New Roman"/>
          <w:sz w:val="24"/>
          <w:szCs w:val="24"/>
          <w:vertAlign w:val="superscript"/>
        </w:rPr>
        <w:t>th</w:t>
      </w:r>
      <w:r w:rsidR="00F574EC">
        <w:rPr>
          <w:rFonts w:ascii="Times New Roman" w:hAnsi="Times New Roman" w:cs="Times New Roman"/>
          <w:sz w:val="24"/>
          <w:szCs w:val="24"/>
        </w:rPr>
        <w:t xml:space="preserve"> through 18</w:t>
      </w:r>
      <w:r w:rsidR="00F574EC" w:rsidRPr="00F574EC">
        <w:rPr>
          <w:rFonts w:ascii="Times New Roman" w:hAnsi="Times New Roman" w:cs="Times New Roman"/>
          <w:sz w:val="24"/>
          <w:szCs w:val="24"/>
          <w:vertAlign w:val="superscript"/>
        </w:rPr>
        <w:t>th</w:t>
      </w:r>
      <w:r w:rsidR="00F574EC">
        <w:rPr>
          <w:rFonts w:ascii="Times New Roman" w:hAnsi="Times New Roman" w:cs="Times New Roman"/>
          <w:sz w:val="24"/>
          <w:szCs w:val="24"/>
        </w:rPr>
        <w:t xml:space="preserve"> centuries.</w:t>
      </w:r>
      <w:r w:rsidR="00F574EC">
        <w:rPr>
          <w:rStyle w:val="FootnoteReference"/>
          <w:rFonts w:ascii="Times New Roman" w:hAnsi="Times New Roman" w:cs="Times New Roman"/>
          <w:sz w:val="24"/>
          <w:szCs w:val="24"/>
        </w:rPr>
        <w:footnoteReference w:id="45"/>
      </w:r>
    </w:p>
    <w:p w14:paraId="1E3C580A" w14:textId="6D94A20A" w:rsidR="006C1E48" w:rsidRDefault="006C1E48" w:rsidP="00372CE4">
      <w:pPr>
        <w:spacing w:line="480" w:lineRule="auto"/>
        <w:ind w:firstLine="720"/>
        <w:rPr>
          <w:rFonts w:ascii="Times New Roman" w:hAnsi="Times New Roman" w:cs="Times New Roman"/>
          <w:sz w:val="24"/>
          <w:szCs w:val="24"/>
        </w:rPr>
      </w:pPr>
      <w:r>
        <w:rPr>
          <w:rFonts w:ascii="Times New Roman" w:hAnsi="Times New Roman" w:cs="Times New Roman"/>
          <w:sz w:val="24"/>
          <w:szCs w:val="24"/>
        </w:rPr>
        <w:t>Mokyr attests that great political and economic institutions are byproducts of the cultures they are created in.</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A culture that values innovation, entrepreneurship, technological growth, and education would indeed advocate for governance and policies that support these values.</w:t>
      </w:r>
      <w:r w:rsidR="00F8350A">
        <w:rPr>
          <w:rFonts w:ascii="Times New Roman" w:hAnsi="Times New Roman" w:cs="Times New Roman"/>
          <w:sz w:val="24"/>
          <w:szCs w:val="24"/>
        </w:rPr>
        <w:t xml:space="preserve"> </w:t>
      </w:r>
      <w:r w:rsidR="00BD6962">
        <w:rPr>
          <w:rFonts w:ascii="Times New Roman" w:hAnsi="Times New Roman" w:cs="Times New Roman"/>
          <w:sz w:val="24"/>
          <w:szCs w:val="24"/>
        </w:rPr>
        <w:t xml:space="preserve">In fact, Mokyr finds the relationship between institutions and culture a coevolved one, where culture determines what kind of </w:t>
      </w:r>
      <w:r w:rsidR="00F0318A">
        <w:rPr>
          <w:rFonts w:ascii="Times New Roman" w:hAnsi="Times New Roman" w:cs="Times New Roman"/>
          <w:sz w:val="24"/>
          <w:szCs w:val="24"/>
        </w:rPr>
        <w:t>institutions emerge, but does not guarantee outcomes.</w:t>
      </w:r>
      <w:r w:rsidR="00F0318A">
        <w:rPr>
          <w:rStyle w:val="FootnoteReference"/>
          <w:rFonts w:ascii="Times New Roman" w:hAnsi="Times New Roman" w:cs="Times New Roman"/>
          <w:sz w:val="24"/>
          <w:szCs w:val="24"/>
        </w:rPr>
        <w:footnoteReference w:id="47"/>
      </w:r>
      <w:r w:rsidR="00F0318A">
        <w:rPr>
          <w:rFonts w:ascii="Times New Roman" w:hAnsi="Times New Roman" w:cs="Times New Roman"/>
          <w:sz w:val="24"/>
          <w:szCs w:val="24"/>
        </w:rPr>
        <w:t xml:space="preserve"> What guarantees outcomes is not necessarily the economic policies at play but how a nation prepares and utilizes its human capital, to foster a culture of innovation and entrepreneurship.</w:t>
      </w:r>
      <w:r w:rsidR="00F0318A">
        <w:rPr>
          <w:rStyle w:val="FootnoteReference"/>
          <w:rFonts w:ascii="Times New Roman" w:hAnsi="Times New Roman" w:cs="Times New Roman"/>
          <w:sz w:val="24"/>
          <w:szCs w:val="24"/>
        </w:rPr>
        <w:footnoteReference w:id="48"/>
      </w:r>
    </w:p>
    <w:p w14:paraId="7083510D" w14:textId="5B50970E" w:rsidR="00F0318A" w:rsidRDefault="00A7229E" w:rsidP="00372CE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Mokyr’s contradiction to Why Nations Fail is that the Industrial Revolution was spurred when the educated elites needed an equally educated labor force </w:t>
      </w:r>
      <w:r w:rsidR="00E667B0">
        <w:rPr>
          <w:rFonts w:ascii="Times New Roman" w:hAnsi="Times New Roman" w:cs="Times New Roman"/>
          <w:sz w:val="24"/>
          <w:szCs w:val="24"/>
        </w:rPr>
        <w:t>to</w:t>
      </w:r>
      <w:r>
        <w:rPr>
          <w:rFonts w:ascii="Times New Roman" w:hAnsi="Times New Roman" w:cs="Times New Roman"/>
          <w:sz w:val="24"/>
          <w:szCs w:val="24"/>
        </w:rPr>
        <w:t xml:space="preserve"> utilize and maintain burgeoning technologies, and therefore invested in and advocated for educating the public </w:t>
      </w:r>
      <w:r w:rsidR="00E667B0">
        <w:rPr>
          <w:rFonts w:ascii="Times New Roman" w:hAnsi="Times New Roman" w:cs="Times New Roman"/>
          <w:sz w:val="24"/>
          <w:szCs w:val="24"/>
        </w:rPr>
        <w:t>to</w:t>
      </w:r>
      <w:r>
        <w:rPr>
          <w:rFonts w:ascii="Times New Roman" w:hAnsi="Times New Roman" w:cs="Times New Roman"/>
          <w:sz w:val="24"/>
          <w:szCs w:val="24"/>
        </w:rPr>
        <w:t xml:space="preserve"> produce and remain producing skilled laborers.</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While </w:t>
      </w:r>
      <w:r w:rsidR="00E667B0">
        <w:rPr>
          <w:rFonts w:ascii="Times New Roman" w:hAnsi="Times New Roman" w:cs="Times New Roman"/>
          <w:sz w:val="24"/>
          <w:szCs w:val="24"/>
        </w:rPr>
        <w:t>establishing public education is indeed seen as a good institutional policy, it was not the institution itself that perpetrated the economic need for skilled labor. This backs Mokyr’s argument that institutions are often a byproduct of cultural needs rather than the preceding factor for cultural revolution.</w:t>
      </w:r>
    </w:p>
    <w:p w14:paraId="3DBFDF4F" w14:textId="62AFE4A7" w:rsidR="00E667B0" w:rsidRPr="00372CE4" w:rsidRDefault="00E667B0" w:rsidP="00372CE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argued is that transnational ideas </w:t>
      </w:r>
      <w:r w:rsidR="008B61C3">
        <w:rPr>
          <w:rFonts w:ascii="Times New Roman" w:hAnsi="Times New Roman" w:cs="Times New Roman"/>
          <w:sz w:val="24"/>
          <w:szCs w:val="24"/>
        </w:rPr>
        <w:t>are</w:t>
      </w:r>
      <w:r>
        <w:rPr>
          <w:rFonts w:ascii="Times New Roman" w:hAnsi="Times New Roman" w:cs="Times New Roman"/>
          <w:sz w:val="24"/>
          <w:szCs w:val="24"/>
        </w:rPr>
        <w:t xml:space="preserve"> the basis for scientific, intellectual, and technological discoveries which in turn pivot a culture towards advocating for great political and economic institutions.</w:t>
      </w:r>
      <w:r w:rsidR="008B61C3">
        <w:rPr>
          <w:rStyle w:val="FootnoteReference"/>
          <w:rFonts w:ascii="Times New Roman" w:hAnsi="Times New Roman" w:cs="Times New Roman"/>
          <w:sz w:val="24"/>
          <w:szCs w:val="24"/>
        </w:rPr>
        <w:footnoteReference w:id="50"/>
      </w:r>
      <w:r w:rsidR="008B61C3">
        <w:rPr>
          <w:rFonts w:ascii="Times New Roman" w:hAnsi="Times New Roman" w:cs="Times New Roman"/>
          <w:sz w:val="24"/>
          <w:szCs w:val="24"/>
        </w:rPr>
        <w:t xml:space="preserve"> The community and competition provided by the Republic of Letters </w:t>
      </w:r>
      <w:r w:rsidR="000E776C">
        <w:rPr>
          <w:rFonts w:ascii="Times New Roman" w:hAnsi="Times New Roman" w:cs="Times New Roman"/>
          <w:sz w:val="24"/>
          <w:szCs w:val="24"/>
        </w:rPr>
        <w:lastRenderedPageBreak/>
        <w:t>shared</w:t>
      </w:r>
      <w:r w:rsidR="008B61C3">
        <w:rPr>
          <w:rFonts w:ascii="Times New Roman" w:hAnsi="Times New Roman" w:cs="Times New Roman"/>
          <w:sz w:val="24"/>
          <w:szCs w:val="24"/>
        </w:rPr>
        <w:t xml:space="preserve"> a plethora of intellectual innovations </w:t>
      </w:r>
      <w:r w:rsidR="000E776C">
        <w:rPr>
          <w:rFonts w:ascii="Times New Roman" w:hAnsi="Times New Roman" w:cs="Times New Roman"/>
          <w:sz w:val="24"/>
          <w:szCs w:val="24"/>
        </w:rPr>
        <w:t>beyond the borders of the inventing nation, allowing others to glean and improve upon initial finding to create new technologies and solidify practical knowledges.</w:t>
      </w:r>
      <w:r w:rsidR="000E776C">
        <w:rPr>
          <w:rStyle w:val="FootnoteReference"/>
          <w:rFonts w:ascii="Times New Roman" w:hAnsi="Times New Roman" w:cs="Times New Roman"/>
          <w:sz w:val="24"/>
          <w:szCs w:val="24"/>
        </w:rPr>
        <w:footnoteReference w:id="51"/>
      </w:r>
      <w:r w:rsidR="000E776C">
        <w:rPr>
          <w:rFonts w:ascii="Times New Roman" w:hAnsi="Times New Roman" w:cs="Times New Roman"/>
          <w:sz w:val="24"/>
          <w:szCs w:val="24"/>
        </w:rPr>
        <w:t xml:space="preserve"> From the Republic of Letters, the Scientific Revolution and the age of Enlightenment was birthed, which in turn established the political and economic institutions utilized to sustain the development initiated by the Industrial Revolution.</w:t>
      </w:r>
      <w:r w:rsidR="000E776C">
        <w:rPr>
          <w:rStyle w:val="FootnoteReference"/>
          <w:rFonts w:ascii="Times New Roman" w:hAnsi="Times New Roman" w:cs="Times New Roman"/>
          <w:sz w:val="24"/>
          <w:szCs w:val="24"/>
        </w:rPr>
        <w:footnoteReference w:id="52"/>
      </w:r>
    </w:p>
    <w:p w14:paraId="46CD5001" w14:textId="4D83093C" w:rsidR="00013D91" w:rsidRDefault="00013D91" w:rsidP="005A6B58">
      <w:pPr>
        <w:spacing w:line="480" w:lineRule="auto"/>
        <w:rPr>
          <w:rFonts w:ascii="Times New Roman" w:hAnsi="Times New Roman" w:cs="Times New Roman"/>
          <w:b/>
          <w:bCs/>
          <w:sz w:val="24"/>
          <w:szCs w:val="24"/>
        </w:rPr>
      </w:pPr>
    </w:p>
    <w:p w14:paraId="33888EA7" w14:textId="27BA8517" w:rsidR="001454B0" w:rsidRPr="005A6B58" w:rsidRDefault="001454B0" w:rsidP="005A6B58">
      <w:pPr>
        <w:spacing w:line="480" w:lineRule="auto"/>
        <w:rPr>
          <w:rFonts w:ascii="Times New Roman" w:hAnsi="Times New Roman" w:cs="Times New Roman"/>
          <w:b/>
          <w:bCs/>
          <w:sz w:val="24"/>
          <w:szCs w:val="24"/>
        </w:rPr>
      </w:pPr>
      <w:r w:rsidRPr="005A6B58">
        <w:rPr>
          <w:rFonts w:ascii="Times New Roman" w:hAnsi="Times New Roman" w:cs="Times New Roman"/>
          <w:b/>
          <w:bCs/>
          <w:sz w:val="24"/>
          <w:szCs w:val="24"/>
        </w:rPr>
        <w:t>Conclusion</w:t>
      </w:r>
      <w:bookmarkEnd w:id="0"/>
      <w:r w:rsidR="005A6B58">
        <w:rPr>
          <w:rFonts w:ascii="Times New Roman" w:hAnsi="Times New Roman" w:cs="Times New Roman"/>
          <w:b/>
          <w:bCs/>
          <w:sz w:val="24"/>
          <w:szCs w:val="24"/>
        </w:rPr>
        <w:t>:</w:t>
      </w:r>
    </w:p>
    <w:p w14:paraId="3A2490D9" w14:textId="5A77B19E" w:rsidR="00442A28" w:rsidRDefault="005A6B58" w:rsidP="005A6B5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It would seem the question of what allows for sustained and thriving economic development falls to the chicken and the egg adage; does institutions spur ideas and innovation or the reversal? While Acemoglu and Robinson repetitively make the case of institutionalism within </w:t>
      </w:r>
      <w:r w:rsidRPr="005A6B58">
        <w:rPr>
          <w:rFonts w:ascii="Times New Roman" w:hAnsi="Times New Roman" w:cs="Times New Roman"/>
          <w:i/>
          <w:iCs/>
          <w:sz w:val="24"/>
          <w:szCs w:val="24"/>
        </w:rPr>
        <w:t>Why Nations Fail</w:t>
      </w:r>
      <w:r>
        <w:rPr>
          <w:rFonts w:ascii="Times New Roman" w:hAnsi="Times New Roman" w:cs="Times New Roman"/>
          <w:sz w:val="24"/>
          <w:szCs w:val="24"/>
        </w:rPr>
        <w:t xml:space="preserve">, and address that technology, innovation, and education are prioritized traits of stabilized economies, Starr, Mokyr, and Kuru are unified in their belief that economic rise can happen despite great political and economic institutions, </w:t>
      </w:r>
      <w:r w:rsidR="003F3A30">
        <w:rPr>
          <w:rFonts w:ascii="Times New Roman" w:hAnsi="Times New Roman" w:cs="Times New Roman"/>
          <w:sz w:val="24"/>
          <w:szCs w:val="24"/>
        </w:rPr>
        <w:t>if</w:t>
      </w:r>
      <w:r>
        <w:rPr>
          <w:rFonts w:ascii="Times New Roman" w:hAnsi="Times New Roman" w:cs="Times New Roman"/>
          <w:sz w:val="24"/>
          <w:szCs w:val="24"/>
        </w:rPr>
        <w:t xml:space="preserve"> transnational ideas and innovations are allowed free reign.</w:t>
      </w:r>
      <w:r>
        <w:rPr>
          <w:rStyle w:val="FootnoteReference"/>
          <w:rFonts w:ascii="Times New Roman" w:hAnsi="Times New Roman" w:cs="Times New Roman"/>
          <w:sz w:val="24"/>
          <w:szCs w:val="24"/>
        </w:rPr>
        <w:footnoteReference w:id="53"/>
      </w:r>
      <w:r w:rsidR="007B56E9">
        <w:rPr>
          <w:rStyle w:val="FootnoteReference"/>
          <w:rFonts w:ascii="Times New Roman" w:hAnsi="Times New Roman" w:cs="Times New Roman"/>
          <w:sz w:val="24"/>
          <w:szCs w:val="24"/>
        </w:rPr>
        <w:footnoteReference w:id="54"/>
      </w:r>
    </w:p>
    <w:p w14:paraId="75958E0E" w14:textId="0FD8947F" w:rsidR="00CF4747" w:rsidRDefault="00CF4747" w:rsidP="005A6B5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Acemoglu and Robinson’s theory is certainly necessary in the world of economic development theory, and in the eyes of many the more rational approach to economic sustainability than relying on the theories of old: colonialism, geography, and culture. But the arguments presented by Starr, Kuru, and Mokyr do not necessarily negate institutionalism, but instead enhances it to include a new variation of culturalism. These alternative narratives emphasize </w:t>
      </w:r>
      <w:r w:rsidR="00D13753">
        <w:rPr>
          <w:rFonts w:ascii="Times New Roman" w:hAnsi="Times New Roman" w:cs="Times New Roman"/>
          <w:sz w:val="24"/>
          <w:szCs w:val="24"/>
        </w:rPr>
        <w:t xml:space="preserve">great political and economic institutions alone cannot succeed </w:t>
      </w:r>
      <w:r>
        <w:rPr>
          <w:rFonts w:ascii="Times New Roman" w:hAnsi="Times New Roman" w:cs="Times New Roman"/>
          <w:sz w:val="24"/>
          <w:szCs w:val="24"/>
        </w:rPr>
        <w:t xml:space="preserve">without a culture of </w:t>
      </w:r>
      <w:r>
        <w:rPr>
          <w:rFonts w:ascii="Times New Roman" w:hAnsi="Times New Roman" w:cs="Times New Roman"/>
          <w:sz w:val="24"/>
          <w:szCs w:val="24"/>
        </w:rPr>
        <w:lastRenderedPageBreak/>
        <w:t>transnational idea exchanges, ethnic and religious tolerance, and an emphasis on improving upon intellect</w:t>
      </w:r>
      <w:r w:rsidR="00D13753">
        <w:rPr>
          <w:rFonts w:ascii="Times New Roman" w:hAnsi="Times New Roman" w:cs="Times New Roman"/>
          <w:sz w:val="24"/>
          <w:szCs w:val="24"/>
        </w:rPr>
        <w:t>ual findings</w:t>
      </w:r>
      <w:r>
        <w:rPr>
          <w:rFonts w:ascii="Times New Roman" w:hAnsi="Times New Roman" w:cs="Times New Roman"/>
          <w:sz w:val="24"/>
          <w:szCs w:val="24"/>
        </w:rPr>
        <w:t xml:space="preserve">, technological advances, and </w:t>
      </w:r>
      <w:r w:rsidR="00D13753">
        <w:rPr>
          <w:rFonts w:ascii="Times New Roman" w:hAnsi="Times New Roman" w:cs="Times New Roman"/>
          <w:sz w:val="24"/>
          <w:szCs w:val="24"/>
        </w:rPr>
        <w:t>explorative research.</w:t>
      </w:r>
    </w:p>
    <w:p w14:paraId="02A29953" w14:textId="32E0AEF7" w:rsidR="00773E1F" w:rsidRDefault="00773E1F" w:rsidP="005A6B58">
      <w:pPr>
        <w:spacing w:line="480" w:lineRule="auto"/>
        <w:ind w:firstLine="360"/>
        <w:rPr>
          <w:rFonts w:ascii="Times New Roman" w:hAnsi="Times New Roman" w:cs="Times New Roman"/>
          <w:sz w:val="24"/>
          <w:szCs w:val="24"/>
        </w:rPr>
      </w:pPr>
    </w:p>
    <w:p w14:paraId="70A4FAD8" w14:textId="71C07995" w:rsidR="00773E1F" w:rsidRDefault="00773E1F" w:rsidP="005A6B58">
      <w:pPr>
        <w:spacing w:line="480" w:lineRule="auto"/>
        <w:ind w:firstLine="360"/>
        <w:rPr>
          <w:rFonts w:ascii="Times New Roman" w:hAnsi="Times New Roman" w:cs="Times New Roman"/>
          <w:sz w:val="24"/>
          <w:szCs w:val="24"/>
        </w:rPr>
      </w:pPr>
    </w:p>
    <w:p w14:paraId="000544D7" w14:textId="77777777" w:rsidR="00013D91" w:rsidRDefault="00013D91" w:rsidP="005A6B58">
      <w:pPr>
        <w:spacing w:line="480" w:lineRule="auto"/>
        <w:ind w:firstLine="360"/>
        <w:rPr>
          <w:rFonts w:ascii="Times New Roman" w:hAnsi="Times New Roman" w:cs="Times New Roman"/>
          <w:sz w:val="24"/>
          <w:szCs w:val="24"/>
        </w:rPr>
      </w:pPr>
    </w:p>
    <w:p w14:paraId="6E69F3F2" w14:textId="72762D87" w:rsidR="00013D91" w:rsidRDefault="00013D91" w:rsidP="005A6B58">
      <w:pPr>
        <w:spacing w:line="480" w:lineRule="auto"/>
        <w:ind w:firstLine="360"/>
        <w:rPr>
          <w:rFonts w:ascii="Times New Roman" w:hAnsi="Times New Roman" w:cs="Times New Roman"/>
          <w:sz w:val="24"/>
          <w:szCs w:val="24"/>
        </w:rPr>
      </w:pPr>
    </w:p>
    <w:p w14:paraId="3ABD77A9" w14:textId="11A467F0" w:rsidR="000E776C" w:rsidRDefault="000E776C" w:rsidP="005A6B58">
      <w:pPr>
        <w:spacing w:line="480" w:lineRule="auto"/>
        <w:ind w:firstLine="360"/>
        <w:rPr>
          <w:rFonts w:ascii="Times New Roman" w:hAnsi="Times New Roman" w:cs="Times New Roman"/>
          <w:sz w:val="24"/>
          <w:szCs w:val="24"/>
        </w:rPr>
      </w:pPr>
    </w:p>
    <w:p w14:paraId="6B3417FC" w14:textId="4889086C" w:rsidR="000E776C" w:rsidRDefault="000E776C" w:rsidP="005A6B58">
      <w:pPr>
        <w:spacing w:line="480" w:lineRule="auto"/>
        <w:ind w:firstLine="360"/>
        <w:rPr>
          <w:rFonts w:ascii="Times New Roman" w:hAnsi="Times New Roman" w:cs="Times New Roman"/>
          <w:sz w:val="24"/>
          <w:szCs w:val="24"/>
        </w:rPr>
      </w:pPr>
    </w:p>
    <w:p w14:paraId="4C14E409" w14:textId="587D0E13" w:rsidR="000E776C" w:rsidRDefault="000E776C" w:rsidP="005A6B58">
      <w:pPr>
        <w:spacing w:line="480" w:lineRule="auto"/>
        <w:ind w:firstLine="360"/>
        <w:rPr>
          <w:rFonts w:ascii="Times New Roman" w:hAnsi="Times New Roman" w:cs="Times New Roman"/>
          <w:sz w:val="24"/>
          <w:szCs w:val="24"/>
        </w:rPr>
      </w:pPr>
    </w:p>
    <w:p w14:paraId="5091E2D1" w14:textId="07B745B2" w:rsidR="000E776C" w:rsidRDefault="000E776C" w:rsidP="005A6B58">
      <w:pPr>
        <w:spacing w:line="480" w:lineRule="auto"/>
        <w:ind w:firstLine="360"/>
        <w:rPr>
          <w:rFonts w:ascii="Times New Roman" w:hAnsi="Times New Roman" w:cs="Times New Roman"/>
          <w:sz w:val="24"/>
          <w:szCs w:val="24"/>
        </w:rPr>
      </w:pPr>
    </w:p>
    <w:p w14:paraId="1CF96202" w14:textId="26319DE0" w:rsidR="000E776C" w:rsidRDefault="000E776C" w:rsidP="005A6B58">
      <w:pPr>
        <w:spacing w:line="480" w:lineRule="auto"/>
        <w:ind w:firstLine="360"/>
        <w:rPr>
          <w:rFonts w:ascii="Times New Roman" w:hAnsi="Times New Roman" w:cs="Times New Roman"/>
          <w:sz w:val="24"/>
          <w:szCs w:val="24"/>
        </w:rPr>
      </w:pPr>
    </w:p>
    <w:p w14:paraId="58826839" w14:textId="1DE54859" w:rsidR="000E776C" w:rsidRDefault="000E776C" w:rsidP="005A6B58">
      <w:pPr>
        <w:spacing w:line="480" w:lineRule="auto"/>
        <w:ind w:firstLine="360"/>
        <w:rPr>
          <w:rFonts w:ascii="Times New Roman" w:hAnsi="Times New Roman" w:cs="Times New Roman"/>
          <w:sz w:val="24"/>
          <w:szCs w:val="24"/>
        </w:rPr>
      </w:pPr>
    </w:p>
    <w:p w14:paraId="0015388E" w14:textId="4927583B" w:rsidR="000E776C" w:rsidRDefault="000E776C" w:rsidP="005A6B58">
      <w:pPr>
        <w:spacing w:line="480" w:lineRule="auto"/>
        <w:ind w:firstLine="360"/>
        <w:rPr>
          <w:rFonts w:ascii="Times New Roman" w:hAnsi="Times New Roman" w:cs="Times New Roman"/>
          <w:sz w:val="24"/>
          <w:szCs w:val="24"/>
        </w:rPr>
      </w:pPr>
    </w:p>
    <w:p w14:paraId="0570B591" w14:textId="4FF22C87" w:rsidR="000E776C" w:rsidRDefault="000E776C" w:rsidP="005A6B58">
      <w:pPr>
        <w:spacing w:line="480" w:lineRule="auto"/>
        <w:ind w:firstLine="360"/>
        <w:rPr>
          <w:rFonts w:ascii="Times New Roman" w:hAnsi="Times New Roman" w:cs="Times New Roman"/>
          <w:sz w:val="24"/>
          <w:szCs w:val="24"/>
        </w:rPr>
      </w:pPr>
    </w:p>
    <w:p w14:paraId="18A3215E" w14:textId="4543E352" w:rsidR="000E776C" w:rsidRDefault="000E776C" w:rsidP="005A6B58">
      <w:pPr>
        <w:spacing w:line="480" w:lineRule="auto"/>
        <w:ind w:firstLine="360"/>
        <w:rPr>
          <w:rFonts w:ascii="Times New Roman" w:hAnsi="Times New Roman" w:cs="Times New Roman"/>
          <w:sz w:val="24"/>
          <w:szCs w:val="24"/>
        </w:rPr>
      </w:pPr>
    </w:p>
    <w:p w14:paraId="5874A844" w14:textId="0E680CA0" w:rsidR="000E776C" w:rsidRDefault="000E776C" w:rsidP="005A6B58">
      <w:pPr>
        <w:spacing w:line="480" w:lineRule="auto"/>
        <w:ind w:firstLine="360"/>
        <w:rPr>
          <w:rFonts w:ascii="Times New Roman" w:hAnsi="Times New Roman" w:cs="Times New Roman"/>
          <w:sz w:val="24"/>
          <w:szCs w:val="24"/>
        </w:rPr>
      </w:pPr>
    </w:p>
    <w:p w14:paraId="48B91A62" w14:textId="00360DA7" w:rsidR="000E776C" w:rsidRDefault="000E776C" w:rsidP="005A6B58">
      <w:pPr>
        <w:spacing w:line="480" w:lineRule="auto"/>
        <w:ind w:firstLine="360"/>
        <w:rPr>
          <w:rFonts w:ascii="Times New Roman" w:hAnsi="Times New Roman" w:cs="Times New Roman"/>
          <w:sz w:val="24"/>
          <w:szCs w:val="24"/>
        </w:rPr>
      </w:pPr>
    </w:p>
    <w:p w14:paraId="34B6704C" w14:textId="77777777" w:rsidR="000E776C" w:rsidRDefault="000E776C" w:rsidP="005A6B58">
      <w:pPr>
        <w:spacing w:line="480" w:lineRule="auto"/>
        <w:ind w:firstLine="360"/>
        <w:rPr>
          <w:rFonts w:ascii="Times New Roman" w:hAnsi="Times New Roman" w:cs="Times New Roman"/>
          <w:sz w:val="24"/>
          <w:szCs w:val="24"/>
        </w:rPr>
      </w:pPr>
    </w:p>
    <w:sdt>
      <w:sdtPr>
        <w:rPr>
          <w:rFonts w:asciiTheme="minorHAnsi" w:eastAsiaTheme="minorHAnsi" w:hAnsiTheme="minorHAnsi" w:cstheme="minorBidi"/>
          <w:color w:val="auto"/>
          <w:sz w:val="22"/>
          <w:szCs w:val="22"/>
        </w:rPr>
        <w:id w:val="469254354"/>
        <w:docPartObj>
          <w:docPartGallery w:val="Bibliographies"/>
          <w:docPartUnique/>
        </w:docPartObj>
      </w:sdtPr>
      <w:sdtEndPr>
        <w:rPr>
          <w:b/>
          <w:bCs/>
        </w:rPr>
      </w:sdtEndPr>
      <w:sdtContent>
        <w:p w14:paraId="1CE3107A" w14:textId="652E9B62" w:rsidR="00121D48" w:rsidRDefault="00121D48">
          <w:pPr>
            <w:pStyle w:val="Heading1"/>
            <w:rPr>
              <w:rFonts w:ascii="Times New Roman" w:hAnsi="Times New Roman" w:cs="Times New Roman"/>
              <w:sz w:val="24"/>
              <w:szCs w:val="24"/>
            </w:rPr>
          </w:pPr>
          <w:r w:rsidRPr="00121D48">
            <w:rPr>
              <w:rFonts w:ascii="Times New Roman" w:hAnsi="Times New Roman" w:cs="Times New Roman"/>
              <w:sz w:val="24"/>
              <w:szCs w:val="24"/>
            </w:rPr>
            <w:t>Works Cited</w:t>
          </w:r>
        </w:p>
        <w:p w14:paraId="7124487C" w14:textId="77777777" w:rsidR="00013D91" w:rsidRPr="00013D91" w:rsidRDefault="00013D91" w:rsidP="00013D91"/>
        <w:p w14:paraId="05A72BC0" w14:textId="77777777" w:rsidR="00121D48" w:rsidRPr="00121D48" w:rsidRDefault="00121D48" w:rsidP="00121D48">
          <w:pPr>
            <w:pStyle w:val="Bibliography"/>
            <w:ind w:left="720" w:hanging="720"/>
            <w:rPr>
              <w:rFonts w:ascii="Times New Roman" w:hAnsi="Times New Roman" w:cs="Times New Roman"/>
              <w:noProof/>
              <w:sz w:val="24"/>
              <w:szCs w:val="24"/>
            </w:rPr>
          </w:pPr>
          <w:r w:rsidRPr="00121D48">
            <w:rPr>
              <w:rFonts w:ascii="Times New Roman" w:hAnsi="Times New Roman" w:cs="Times New Roman"/>
              <w:sz w:val="24"/>
              <w:szCs w:val="24"/>
            </w:rPr>
            <w:fldChar w:fldCharType="begin"/>
          </w:r>
          <w:r w:rsidRPr="00A7229E">
            <w:rPr>
              <w:rFonts w:ascii="Times New Roman" w:hAnsi="Times New Roman" w:cs="Times New Roman"/>
              <w:sz w:val="24"/>
              <w:szCs w:val="24"/>
            </w:rPr>
            <w:instrText xml:space="preserve"> BIBLIOGRAPHY </w:instrText>
          </w:r>
          <w:r w:rsidRPr="00121D48">
            <w:rPr>
              <w:rFonts w:ascii="Times New Roman" w:hAnsi="Times New Roman" w:cs="Times New Roman"/>
              <w:sz w:val="24"/>
              <w:szCs w:val="24"/>
            </w:rPr>
            <w:fldChar w:fldCharType="separate"/>
          </w:r>
          <w:r w:rsidRPr="00A7229E">
            <w:rPr>
              <w:rFonts w:ascii="Times New Roman" w:hAnsi="Times New Roman" w:cs="Times New Roman"/>
              <w:noProof/>
              <w:sz w:val="24"/>
              <w:szCs w:val="24"/>
            </w:rPr>
            <w:t xml:space="preserve">Acemoglu, D., &amp; Robinson, J. A. (2012). </w:t>
          </w:r>
          <w:r w:rsidRPr="00121D48">
            <w:rPr>
              <w:rFonts w:ascii="Times New Roman" w:hAnsi="Times New Roman" w:cs="Times New Roman"/>
              <w:i/>
              <w:iCs/>
              <w:noProof/>
              <w:sz w:val="24"/>
              <w:szCs w:val="24"/>
            </w:rPr>
            <w:t>Why Nations Fail.</w:t>
          </w:r>
          <w:r w:rsidRPr="00121D48">
            <w:rPr>
              <w:rFonts w:ascii="Times New Roman" w:hAnsi="Times New Roman" w:cs="Times New Roman"/>
              <w:noProof/>
              <w:sz w:val="24"/>
              <w:szCs w:val="24"/>
            </w:rPr>
            <w:t xml:space="preserve"> London: Crown Business.</w:t>
          </w:r>
        </w:p>
        <w:p w14:paraId="79461B38" w14:textId="77777777" w:rsidR="00121D48" w:rsidRPr="00121D48" w:rsidRDefault="00121D48" w:rsidP="00121D48">
          <w:pPr>
            <w:pStyle w:val="Bibliography"/>
            <w:ind w:left="720" w:hanging="720"/>
            <w:rPr>
              <w:rFonts w:ascii="Times New Roman" w:hAnsi="Times New Roman" w:cs="Times New Roman"/>
              <w:noProof/>
              <w:sz w:val="24"/>
              <w:szCs w:val="24"/>
            </w:rPr>
          </w:pPr>
          <w:r w:rsidRPr="00121D48">
            <w:rPr>
              <w:rFonts w:ascii="Times New Roman" w:hAnsi="Times New Roman" w:cs="Times New Roman"/>
              <w:noProof/>
              <w:sz w:val="24"/>
              <w:szCs w:val="24"/>
            </w:rPr>
            <w:t xml:space="preserve">Kuru, A. T. (2019). </w:t>
          </w:r>
          <w:r w:rsidRPr="00121D48">
            <w:rPr>
              <w:rFonts w:ascii="Times New Roman" w:hAnsi="Times New Roman" w:cs="Times New Roman"/>
              <w:i/>
              <w:iCs/>
              <w:noProof/>
              <w:sz w:val="24"/>
              <w:szCs w:val="24"/>
            </w:rPr>
            <w:t>Islam, Authoritarianism, and Underdevelopment.</w:t>
          </w:r>
          <w:r w:rsidRPr="00121D48">
            <w:rPr>
              <w:rFonts w:ascii="Times New Roman" w:hAnsi="Times New Roman" w:cs="Times New Roman"/>
              <w:noProof/>
              <w:sz w:val="24"/>
              <w:szCs w:val="24"/>
            </w:rPr>
            <w:t xml:space="preserve"> Cambridge: Cambridge University Press.</w:t>
          </w:r>
        </w:p>
        <w:p w14:paraId="118F3593" w14:textId="77777777" w:rsidR="00121D48" w:rsidRPr="00121D48" w:rsidRDefault="00121D48" w:rsidP="00121D48">
          <w:pPr>
            <w:pStyle w:val="Bibliography"/>
            <w:ind w:left="720" w:hanging="720"/>
            <w:rPr>
              <w:rFonts w:ascii="Times New Roman" w:hAnsi="Times New Roman" w:cs="Times New Roman"/>
              <w:noProof/>
              <w:sz w:val="24"/>
              <w:szCs w:val="24"/>
            </w:rPr>
          </w:pPr>
          <w:r w:rsidRPr="00121D48">
            <w:rPr>
              <w:rFonts w:ascii="Times New Roman" w:hAnsi="Times New Roman" w:cs="Times New Roman"/>
              <w:noProof/>
              <w:sz w:val="24"/>
              <w:szCs w:val="24"/>
            </w:rPr>
            <w:t xml:space="preserve">Mokyr, J. (2016). </w:t>
          </w:r>
          <w:r w:rsidRPr="00121D48">
            <w:rPr>
              <w:rFonts w:ascii="Times New Roman" w:hAnsi="Times New Roman" w:cs="Times New Roman"/>
              <w:i/>
              <w:iCs/>
              <w:noProof/>
              <w:sz w:val="24"/>
              <w:szCs w:val="24"/>
            </w:rPr>
            <w:t>A Culture of Growth: The Origins of the Modern Economy.</w:t>
          </w:r>
          <w:r w:rsidRPr="00121D48">
            <w:rPr>
              <w:rFonts w:ascii="Times New Roman" w:hAnsi="Times New Roman" w:cs="Times New Roman"/>
              <w:noProof/>
              <w:sz w:val="24"/>
              <w:szCs w:val="24"/>
            </w:rPr>
            <w:t xml:space="preserve"> Princeton: Princeton University Press.</w:t>
          </w:r>
        </w:p>
        <w:p w14:paraId="4DFBEB44" w14:textId="503BE697" w:rsidR="00121D48" w:rsidRDefault="00121D48" w:rsidP="00121D48">
          <w:r w:rsidRPr="00121D48">
            <w:rPr>
              <w:rFonts w:ascii="Times New Roman" w:hAnsi="Times New Roman" w:cs="Times New Roman"/>
              <w:b/>
              <w:bCs/>
              <w:sz w:val="24"/>
              <w:szCs w:val="24"/>
            </w:rPr>
            <w:fldChar w:fldCharType="end"/>
          </w:r>
        </w:p>
      </w:sdtContent>
    </w:sdt>
    <w:p w14:paraId="4CD4FD1A" w14:textId="77777777" w:rsidR="00442A28" w:rsidRPr="00442A28" w:rsidRDefault="00442A28" w:rsidP="00442A28">
      <w:pPr>
        <w:spacing w:line="480" w:lineRule="auto"/>
        <w:rPr>
          <w:rFonts w:ascii="Times New Roman" w:hAnsi="Times New Roman" w:cs="Times New Roman"/>
          <w:sz w:val="24"/>
          <w:szCs w:val="24"/>
        </w:rPr>
      </w:pPr>
    </w:p>
    <w:sectPr w:rsidR="00442A28" w:rsidRPr="00442A28" w:rsidSect="00B307FE">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AFEC" w14:textId="77777777" w:rsidR="000710F8" w:rsidRDefault="000710F8" w:rsidP="001454B0">
      <w:pPr>
        <w:spacing w:after="0" w:line="240" w:lineRule="auto"/>
      </w:pPr>
      <w:r>
        <w:separator/>
      </w:r>
    </w:p>
  </w:endnote>
  <w:endnote w:type="continuationSeparator" w:id="0">
    <w:p w14:paraId="3AA64A98" w14:textId="77777777" w:rsidR="000710F8" w:rsidRDefault="000710F8" w:rsidP="0014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679017"/>
      <w:docPartObj>
        <w:docPartGallery w:val="Page Numbers (Bottom of Page)"/>
        <w:docPartUnique/>
      </w:docPartObj>
    </w:sdtPr>
    <w:sdtEndPr>
      <w:rPr>
        <w:color w:val="7F7F7F" w:themeColor="background1" w:themeShade="7F"/>
        <w:spacing w:val="60"/>
      </w:rPr>
    </w:sdtEndPr>
    <w:sdtContent>
      <w:p w14:paraId="05F122BA" w14:textId="0ABE718C" w:rsidR="003F3A30" w:rsidRDefault="003F3A3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72F454" w14:textId="77777777" w:rsidR="003F3A30" w:rsidRDefault="003F3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8D67" w14:textId="77777777" w:rsidR="000710F8" w:rsidRDefault="000710F8" w:rsidP="001454B0">
      <w:pPr>
        <w:spacing w:after="0" w:line="240" w:lineRule="auto"/>
      </w:pPr>
      <w:r>
        <w:separator/>
      </w:r>
    </w:p>
  </w:footnote>
  <w:footnote w:type="continuationSeparator" w:id="0">
    <w:p w14:paraId="440ADCEA" w14:textId="77777777" w:rsidR="000710F8" w:rsidRDefault="000710F8" w:rsidP="001454B0">
      <w:pPr>
        <w:spacing w:after="0" w:line="240" w:lineRule="auto"/>
      </w:pPr>
      <w:r>
        <w:continuationSeparator/>
      </w:r>
    </w:p>
  </w:footnote>
  <w:footnote w:id="1">
    <w:p w14:paraId="24025E67" w14:textId="6215C004" w:rsidR="001454B0" w:rsidRDefault="001454B0">
      <w:pPr>
        <w:pStyle w:val="FootnoteText"/>
      </w:pPr>
      <w:r>
        <w:rPr>
          <w:rStyle w:val="FootnoteReference"/>
        </w:rPr>
        <w:footnoteRef/>
      </w:r>
      <w:r>
        <w:t xml:space="preserve"> </w:t>
      </w:r>
      <w:r w:rsidRPr="00B307FE">
        <w:rPr>
          <w:i/>
          <w:iCs/>
        </w:rPr>
        <w:t>Why Nations Fail</w:t>
      </w:r>
      <w:r w:rsidR="00B307FE" w:rsidRPr="00B307FE">
        <w:rPr>
          <w:i/>
          <w:iCs/>
        </w:rPr>
        <w:t>,</w:t>
      </w:r>
      <w:r w:rsidR="00B307FE">
        <w:t xml:space="preserve"> </w:t>
      </w:r>
      <w:r>
        <w:t>Daron Acemoglu, James A. Robinson, p. 3</w:t>
      </w:r>
      <w:r w:rsidR="00B307FE">
        <w:t>64</w:t>
      </w:r>
    </w:p>
  </w:footnote>
  <w:footnote w:id="2">
    <w:p w14:paraId="01B1F4DA" w14:textId="42F7125A" w:rsidR="00B307FE" w:rsidRDefault="00B307FE">
      <w:pPr>
        <w:pStyle w:val="FootnoteText"/>
      </w:pPr>
      <w:r>
        <w:rPr>
          <w:rStyle w:val="FootnoteReference"/>
        </w:rPr>
        <w:footnoteRef/>
      </w:r>
      <w:r>
        <w:t xml:space="preserve"> </w:t>
      </w:r>
      <w:r w:rsidRPr="00B307FE">
        <w:rPr>
          <w:i/>
          <w:iCs/>
        </w:rPr>
        <w:t>Culture of Growth</w:t>
      </w:r>
      <w:r>
        <w:t>, Joel Mokyr, p. 288</w:t>
      </w:r>
    </w:p>
  </w:footnote>
  <w:footnote w:id="3">
    <w:p w14:paraId="5A99E474" w14:textId="6BC9C57A" w:rsidR="00463503" w:rsidRDefault="00463503">
      <w:pPr>
        <w:pStyle w:val="FootnoteText"/>
      </w:pPr>
      <w:r>
        <w:rPr>
          <w:rStyle w:val="FootnoteReference"/>
        </w:rPr>
        <w:footnoteRef/>
      </w:r>
      <w:r>
        <w:t xml:space="preserve"> </w:t>
      </w:r>
      <w:r w:rsidRPr="00463503">
        <w:rPr>
          <w:i/>
          <w:iCs/>
        </w:rPr>
        <w:t>Lost Enlightenment</w:t>
      </w:r>
      <w:r>
        <w:t>, Frederick Starr, p. 196</w:t>
      </w:r>
    </w:p>
  </w:footnote>
  <w:footnote w:id="4">
    <w:p w14:paraId="15535A5C" w14:textId="1C6510A8" w:rsidR="00463503" w:rsidRDefault="00463503">
      <w:pPr>
        <w:pStyle w:val="FootnoteText"/>
      </w:pPr>
      <w:r>
        <w:rPr>
          <w:rStyle w:val="FootnoteReference"/>
        </w:rPr>
        <w:footnoteRef/>
      </w:r>
      <w:r>
        <w:t xml:space="preserve"> </w:t>
      </w:r>
      <w:r w:rsidRPr="00463503">
        <w:rPr>
          <w:i/>
          <w:iCs/>
        </w:rPr>
        <w:t>Lost Enlightenment</w:t>
      </w:r>
      <w:r>
        <w:t>, Frederick Starr, p. 197</w:t>
      </w:r>
    </w:p>
  </w:footnote>
  <w:footnote w:id="5">
    <w:p w14:paraId="62994706" w14:textId="2724E11A" w:rsidR="00C239B7" w:rsidRDefault="00C239B7">
      <w:pPr>
        <w:pStyle w:val="FootnoteText"/>
      </w:pPr>
      <w:r>
        <w:rPr>
          <w:rStyle w:val="FootnoteReference"/>
        </w:rPr>
        <w:footnoteRef/>
      </w:r>
      <w:r>
        <w:t xml:space="preserve"> </w:t>
      </w:r>
      <w:r w:rsidRPr="00463503">
        <w:rPr>
          <w:i/>
          <w:iCs/>
        </w:rPr>
        <w:t>Lost Enlightenment</w:t>
      </w:r>
      <w:r>
        <w:t>, Frederick Starr, p. 200</w:t>
      </w:r>
    </w:p>
  </w:footnote>
  <w:footnote w:id="6">
    <w:p w14:paraId="2D56156D" w14:textId="7B1AA6F7" w:rsidR="00C239B7" w:rsidRDefault="00C239B7">
      <w:pPr>
        <w:pStyle w:val="FootnoteText"/>
      </w:pPr>
      <w:r>
        <w:rPr>
          <w:rStyle w:val="FootnoteReference"/>
        </w:rPr>
        <w:footnoteRef/>
      </w:r>
      <w:r>
        <w:t xml:space="preserve"> </w:t>
      </w:r>
      <w:r w:rsidRPr="00463503">
        <w:rPr>
          <w:i/>
          <w:iCs/>
        </w:rPr>
        <w:t>Lost Enlightenment</w:t>
      </w:r>
      <w:r>
        <w:t xml:space="preserve">, Frederick Starr, p. </w:t>
      </w:r>
      <w:r w:rsidR="00374A59">
        <w:t>230</w:t>
      </w:r>
    </w:p>
  </w:footnote>
  <w:footnote w:id="7">
    <w:p w14:paraId="3DB485CE" w14:textId="143C35F8" w:rsidR="00374A59" w:rsidRDefault="00374A59">
      <w:pPr>
        <w:pStyle w:val="FootnoteText"/>
      </w:pPr>
      <w:r>
        <w:rPr>
          <w:rStyle w:val="FootnoteReference"/>
        </w:rPr>
        <w:footnoteRef/>
      </w:r>
      <w:r>
        <w:t xml:space="preserve"> </w:t>
      </w:r>
      <w:r w:rsidRPr="00463503">
        <w:rPr>
          <w:i/>
          <w:iCs/>
        </w:rPr>
        <w:t>Lost Enlightenment</w:t>
      </w:r>
      <w:r>
        <w:t>, Frederick Starr, p. 231</w:t>
      </w:r>
    </w:p>
  </w:footnote>
  <w:footnote w:id="8">
    <w:p w14:paraId="549258A3" w14:textId="25855DBE" w:rsidR="00374A59" w:rsidRDefault="00374A59">
      <w:pPr>
        <w:pStyle w:val="FootnoteText"/>
      </w:pPr>
      <w:r>
        <w:rPr>
          <w:rStyle w:val="FootnoteReference"/>
        </w:rPr>
        <w:footnoteRef/>
      </w:r>
      <w:r>
        <w:t xml:space="preserve"> </w:t>
      </w:r>
      <w:r w:rsidRPr="00463503">
        <w:rPr>
          <w:i/>
          <w:iCs/>
        </w:rPr>
        <w:t>Lost Enlightenment</w:t>
      </w:r>
      <w:r>
        <w:t>, Frederick Starr, p. 241</w:t>
      </w:r>
    </w:p>
  </w:footnote>
  <w:footnote w:id="9">
    <w:p w14:paraId="061F49A9" w14:textId="1D4C227C" w:rsidR="003A706D" w:rsidRDefault="003A706D">
      <w:pPr>
        <w:pStyle w:val="FootnoteText"/>
      </w:pPr>
      <w:r>
        <w:rPr>
          <w:rStyle w:val="FootnoteReference"/>
        </w:rPr>
        <w:footnoteRef/>
      </w:r>
      <w:r>
        <w:t xml:space="preserve"> </w:t>
      </w:r>
      <w:r w:rsidRPr="00463503">
        <w:rPr>
          <w:i/>
          <w:iCs/>
        </w:rPr>
        <w:t>Lost Enlightenment</w:t>
      </w:r>
      <w:r>
        <w:t>, Frederick Starr, p. 267</w:t>
      </w:r>
    </w:p>
  </w:footnote>
  <w:footnote w:id="10">
    <w:p w14:paraId="0923356B" w14:textId="1C39398E" w:rsidR="003A706D" w:rsidRDefault="003A706D">
      <w:pPr>
        <w:pStyle w:val="FootnoteText"/>
      </w:pPr>
      <w:r>
        <w:rPr>
          <w:rStyle w:val="FootnoteReference"/>
        </w:rPr>
        <w:footnoteRef/>
      </w:r>
      <w:r>
        <w:t xml:space="preserve"> </w:t>
      </w:r>
      <w:r w:rsidRPr="00463503">
        <w:rPr>
          <w:i/>
          <w:iCs/>
        </w:rPr>
        <w:t>Lost Enlightenment</w:t>
      </w:r>
      <w:r>
        <w:t>, Frederick Starr, p. 268</w:t>
      </w:r>
    </w:p>
  </w:footnote>
  <w:footnote w:id="11">
    <w:p w14:paraId="09BB4D78" w14:textId="0B04B1EB" w:rsidR="003A706D" w:rsidRDefault="003A706D">
      <w:pPr>
        <w:pStyle w:val="FootnoteText"/>
      </w:pPr>
      <w:r>
        <w:rPr>
          <w:rStyle w:val="FootnoteReference"/>
        </w:rPr>
        <w:footnoteRef/>
      </w:r>
      <w:r>
        <w:t xml:space="preserve"> </w:t>
      </w:r>
      <w:r w:rsidRPr="00463503">
        <w:rPr>
          <w:i/>
          <w:iCs/>
        </w:rPr>
        <w:t>Lost Enlightenment</w:t>
      </w:r>
      <w:r>
        <w:t>, Frederick Starr, p. 281</w:t>
      </w:r>
    </w:p>
  </w:footnote>
  <w:footnote w:id="12">
    <w:p w14:paraId="7D30B573" w14:textId="434CD8ED" w:rsidR="00CB2246" w:rsidRDefault="00CB2246">
      <w:pPr>
        <w:pStyle w:val="FootnoteText"/>
      </w:pPr>
      <w:r>
        <w:rPr>
          <w:rStyle w:val="FootnoteReference"/>
        </w:rPr>
        <w:footnoteRef/>
      </w:r>
      <w:r>
        <w:t xml:space="preserve"> </w:t>
      </w:r>
      <w:r w:rsidRPr="00463503">
        <w:rPr>
          <w:i/>
          <w:iCs/>
        </w:rPr>
        <w:t>Lost Enlightenment</w:t>
      </w:r>
      <w:r>
        <w:t>, Frederick Starr, p. 284,285</w:t>
      </w:r>
    </w:p>
  </w:footnote>
  <w:footnote w:id="13">
    <w:p w14:paraId="54A51688" w14:textId="24767923" w:rsidR="002C7C21" w:rsidRDefault="002C7C21">
      <w:pPr>
        <w:pStyle w:val="FootnoteText"/>
      </w:pPr>
      <w:r>
        <w:rPr>
          <w:rStyle w:val="FootnoteReference"/>
        </w:rPr>
        <w:footnoteRef/>
      </w:r>
      <w:r>
        <w:t xml:space="preserve"> </w:t>
      </w:r>
      <w:r w:rsidRPr="00463503">
        <w:rPr>
          <w:i/>
          <w:iCs/>
        </w:rPr>
        <w:t>Lost Enlightenment</w:t>
      </w:r>
      <w:r>
        <w:t>, Frederick Starr, p. 284</w:t>
      </w:r>
    </w:p>
  </w:footnote>
  <w:footnote w:id="14">
    <w:p w14:paraId="0FC863C9" w14:textId="5BC4A9F2" w:rsidR="003A706D" w:rsidRDefault="003A706D">
      <w:pPr>
        <w:pStyle w:val="FootnoteText"/>
      </w:pPr>
      <w:r>
        <w:rPr>
          <w:rStyle w:val="FootnoteReference"/>
        </w:rPr>
        <w:footnoteRef/>
      </w:r>
      <w:r>
        <w:t xml:space="preserve"> </w:t>
      </w:r>
      <w:r w:rsidRPr="00463503">
        <w:rPr>
          <w:i/>
          <w:iCs/>
        </w:rPr>
        <w:t>Lost Enlightenment</w:t>
      </w:r>
      <w:r>
        <w:t>, Frederick Starr, p. 269</w:t>
      </w:r>
    </w:p>
  </w:footnote>
  <w:footnote w:id="15">
    <w:p w14:paraId="13A50C85" w14:textId="10ADF306" w:rsidR="004A1450" w:rsidRDefault="004A1450">
      <w:pPr>
        <w:pStyle w:val="FootnoteText"/>
      </w:pPr>
      <w:r>
        <w:rPr>
          <w:rStyle w:val="FootnoteReference"/>
        </w:rPr>
        <w:footnoteRef/>
      </w:r>
      <w:r>
        <w:t xml:space="preserve"> </w:t>
      </w:r>
      <w:r w:rsidRPr="00CB1C65">
        <w:rPr>
          <w:i/>
          <w:iCs/>
        </w:rPr>
        <w:t>Why Nations Fail,</w:t>
      </w:r>
      <w:r>
        <w:t xml:space="preserve"> Acemoglu, Robinson, p. </w:t>
      </w:r>
      <w:r w:rsidR="00CB1C65">
        <w:t>81</w:t>
      </w:r>
    </w:p>
  </w:footnote>
  <w:footnote w:id="16">
    <w:p w14:paraId="4D02914C" w14:textId="768CEE91" w:rsidR="00832EF6" w:rsidRDefault="00832EF6">
      <w:pPr>
        <w:pStyle w:val="FootnoteText"/>
      </w:pPr>
      <w:r>
        <w:rPr>
          <w:rStyle w:val="FootnoteReference"/>
        </w:rPr>
        <w:footnoteRef/>
      </w:r>
      <w:r>
        <w:t xml:space="preserve"> </w:t>
      </w:r>
      <w:r w:rsidRPr="00463503">
        <w:rPr>
          <w:i/>
          <w:iCs/>
        </w:rPr>
        <w:t>Lost Enlightenment</w:t>
      </w:r>
      <w:r>
        <w:t>, Frederick Starr, p. 242</w:t>
      </w:r>
    </w:p>
  </w:footnote>
  <w:footnote w:id="17">
    <w:p w14:paraId="4F7D483A" w14:textId="04FD966F" w:rsidR="00832EF6" w:rsidRDefault="00832EF6">
      <w:pPr>
        <w:pStyle w:val="FootnoteText"/>
      </w:pPr>
      <w:r>
        <w:rPr>
          <w:rStyle w:val="FootnoteReference"/>
        </w:rPr>
        <w:footnoteRef/>
      </w:r>
      <w:r>
        <w:t xml:space="preserve"> </w:t>
      </w:r>
      <w:r w:rsidRPr="00832EF6">
        <w:rPr>
          <w:i/>
          <w:iCs/>
        </w:rPr>
        <w:t>Islam, Authoritarianism, and Underdevelopment,</w:t>
      </w:r>
      <w:r>
        <w:t xml:space="preserve"> Ahmet T. Kuru, p. 46,47</w:t>
      </w:r>
    </w:p>
  </w:footnote>
  <w:footnote w:id="18">
    <w:p w14:paraId="39EBAB1F" w14:textId="4CC9F1F4" w:rsidR="00BA074B" w:rsidRDefault="00BA074B">
      <w:pPr>
        <w:pStyle w:val="FootnoteText"/>
      </w:pPr>
      <w:r>
        <w:rPr>
          <w:rStyle w:val="FootnoteReference"/>
        </w:rPr>
        <w:footnoteRef/>
      </w:r>
      <w:r>
        <w:t xml:space="preserve"> </w:t>
      </w:r>
      <w:r w:rsidRPr="00463503">
        <w:rPr>
          <w:i/>
          <w:iCs/>
        </w:rPr>
        <w:t>Lost Enlightenment</w:t>
      </w:r>
      <w:r>
        <w:t>, Frederick Starr, p. 201</w:t>
      </w:r>
    </w:p>
  </w:footnote>
  <w:footnote w:id="19">
    <w:p w14:paraId="2F91CBB0" w14:textId="265C5855" w:rsidR="00C829C0" w:rsidRDefault="00C829C0">
      <w:pPr>
        <w:pStyle w:val="FootnoteText"/>
      </w:pPr>
      <w:r>
        <w:rPr>
          <w:rStyle w:val="FootnoteReference"/>
        </w:rPr>
        <w:footnoteRef/>
      </w:r>
      <w:r>
        <w:t xml:space="preserve"> </w:t>
      </w:r>
      <w:r w:rsidRPr="00463503">
        <w:rPr>
          <w:i/>
          <w:iCs/>
        </w:rPr>
        <w:t>Lost Enlightenment</w:t>
      </w:r>
      <w:r>
        <w:t>, Frederick Starr, p. 201,202</w:t>
      </w:r>
    </w:p>
  </w:footnote>
  <w:footnote w:id="20">
    <w:p w14:paraId="39903ABE" w14:textId="5E5AD4B3" w:rsidR="00EF6729" w:rsidRDefault="00EF6729">
      <w:pPr>
        <w:pStyle w:val="FootnoteText"/>
      </w:pPr>
      <w:r>
        <w:rPr>
          <w:rStyle w:val="FootnoteReference"/>
        </w:rPr>
        <w:footnoteRef/>
      </w:r>
      <w:r>
        <w:t xml:space="preserve"> </w:t>
      </w:r>
      <w:r w:rsidRPr="00463503">
        <w:rPr>
          <w:i/>
          <w:iCs/>
        </w:rPr>
        <w:t>Lost Enlightenment</w:t>
      </w:r>
      <w:r>
        <w:t>, Frederick Starr, p. 382</w:t>
      </w:r>
    </w:p>
  </w:footnote>
  <w:footnote w:id="21">
    <w:p w14:paraId="460DD40A" w14:textId="454012DC" w:rsidR="00D77E53" w:rsidRDefault="00D77E53">
      <w:pPr>
        <w:pStyle w:val="FootnoteText"/>
      </w:pPr>
      <w:r>
        <w:rPr>
          <w:rStyle w:val="FootnoteReference"/>
        </w:rPr>
        <w:footnoteRef/>
      </w:r>
      <w:r>
        <w:t xml:space="preserve"> </w:t>
      </w:r>
      <w:r w:rsidRPr="00463503">
        <w:rPr>
          <w:i/>
          <w:iCs/>
        </w:rPr>
        <w:t>Lost Enlightenment</w:t>
      </w:r>
      <w:r>
        <w:t>, Frederick Starr, p. 389</w:t>
      </w:r>
    </w:p>
  </w:footnote>
  <w:footnote w:id="22">
    <w:p w14:paraId="13F2F829" w14:textId="343D944F" w:rsidR="0032276D" w:rsidRDefault="0032276D">
      <w:pPr>
        <w:pStyle w:val="FootnoteText"/>
      </w:pPr>
      <w:r>
        <w:rPr>
          <w:rStyle w:val="FootnoteReference"/>
        </w:rPr>
        <w:footnoteRef/>
      </w:r>
      <w:r>
        <w:t xml:space="preserve"> </w:t>
      </w:r>
      <w:r w:rsidRPr="00463503">
        <w:rPr>
          <w:i/>
          <w:iCs/>
        </w:rPr>
        <w:t>Lost Enlightenment</w:t>
      </w:r>
      <w:r>
        <w:t>, Frederick Starr, p. 406,407</w:t>
      </w:r>
    </w:p>
  </w:footnote>
  <w:footnote w:id="23">
    <w:p w14:paraId="08A3DD71" w14:textId="32222642" w:rsidR="00F71C71" w:rsidRDefault="00F71C71">
      <w:pPr>
        <w:pStyle w:val="FootnoteText"/>
      </w:pPr>
      <w:r>
        <w:rPr>
          <w:rStyle w:val="FootnoteReference"/>
        </w:rPr>
        <w:footnoteRef/>
      </w:r>
      <w:r>
        <w:t xml:space="preserve"> </w:t>
      </w:r>
      <w:r w:rsidRPr="00463503">
        <w:rPr>
          <w:i/>
          <w:iCs/>
        </w:rPr>
        <w:t>Lost Enlightenment</w:t>
      </w:r>
      <w:r>
        <w:t>, Frederick Starr, p. 404</w:t>
      </w:r>
    </w:p>
  </w:footnote>
  <w:footnote w:id="24">
    <w:p w14:paraId="69B6DEA7" w14:textId="0A8F5DE1" w:rsidR="00F71C71" w:rsidRDefault="00F71C71">
      <w:pPr>
        <w:pStyle w:val="FootnoteText"/>
      </w:pPr>
      <w:r>
        <w:rPr>
          <w:rStyle w:val="FootnoteReference"/>
        </w:rPr>
        <w:footnoteRef/>
      </w:r>
      <w:r>
        <w:t xml:space="preserve"> </w:t>
      </w:r>
      <w:r w:rsidRPr="00463503">
        <w:rPr>
          <w:i/>
          <w:iCs/>
        </w:rPr>
        <w:t>Lost Enlightenment</w:t>
      </w:r>
      <w:r>
        <w:t>, Frederick Starr, p. 422</w:t>
      </w:r>
    </w:p>
  </w:footnote>
  <w:footnote w:id="25">
    <w:p w14:paraId="70BD7E4E" w14:textId="74A54B92" w:rsidR="00F71C71" w:rsidRDefault="00F71C71">
      <w:pPr>
        <w:pStyle w:val="FootnoteText"/>
      </w:pPr>
      <w:r>
        <w:rPr>
          <w:rStyle w:val="FootnoteReference"/>
        </w:rPr>
        <w:footnoteRef/>
      </w:r>
      <w:r>
        <w:t xml:space="preserve"> </w:t>
      </w:r>
      <w:r w:rsidRPr="00463503">
        <w:rPr>
          <w:i/>
          <w:iCs/>
        </w:rPr>
        <w:t>Lost Enlightenment</w:t>
      </w:r>
      <w:r>
        <w:t>, Frederick Starr, p. 388,395</w:t>
      </w:r>
    </w:p>
  </w:footnote>
  <w:footnote w:id="26">
    <w:p w14:paraId="19CE6D2A" w14:textId="52E55EF3" w:rsidR="00EF484B" w:rsidRDefault="00EF484B">
      <w:pPr>
        <w:pStyle w:val="FootnoteText"/>
      </w:pPr>
      <w:r>
        <w:rPr>
          <w:rStyle w:val="FootnoteReference"/>
        </w:rPr>
        <w:footnoteRef/>
      </w:r>
      <w:r>
        <w:t xml:space="preserve"> </w:t>
      </w:r>
      <w:r w:rsidRPr="00442A28">
        <w:rPr>
          <w:i/>
          <w:iCs/>
        </w:rPr>
        <w:t>Why Nations Fail</w:t>
      </w:r>
      <w:r>
        <w:t>, Acemoglu, Robinson, p. 81,82, 216, 343</w:t>
      </w:r>
    </w:p>
  </w:footnote>
  <w:footnote w:id="27">
    <w:p w14:paraId="35B59862" w14:textId="01ECF46F" w:rsidR="00F90A2A" w:rsidRDefault="00F90A2A">
      <w:pPr>
        <w:pStyle w:val="FootnoteText"/>
      </w:pPr>
      <w:r>
        <w:rPr>
          <w:rStyle w:val="FootnoteReference"/>
        </w:rPr>
        <w:footnoteRef/>
      </w:r>
      <w:r>
        <w:t xml:space="preserve"> </w:t>
      </w:r>
      <w:r w:rsidRPr="00463503">
        <w:rPr>
          <w:i/>
          <w:iCs/>
        </w:rPr>
        <w:t>Lost Enlightenment</w:t>
      </w:r>
      <w:r>
        <w:t>, Frederick Starr, p. 197</w:t>
      </w:r>
    </w:p>
  </w:footnote>
  <w:footnote w:id="28">
    <w:p w14:paraId="016A74C5" w14:textId="59D45C9F" w:rsidR="00D50736" w:rsidRDefault="00D50736">
      <w:pPr>
        <w:pStyle w:val="FootnoteText"/>
      </w:pPr>
      <w:r>
        <w:rPr>
          <w:rStyle w:val="FootnoteReference"/>
        </w:rPr>
        <w:footnoteRef/>
      </w:r>
      <w:r>
        <w:t xml:space="preserve"> </w:t>
      </w:r>
      <w:r w:rsidRPr="00463503">
        <w:rPr>
          <w:i/>
          <w:iCs/>
        </w:rPr>
        <w:t>Lost Enlightenment</w:t>
      </w:r>
      <w:r>
        <w:t>, Frederick Starr, p. 521</w:t>
      </w:r>
    </w:p>
  </w:footnote>
  <w:footnote w:id="29">
    <w:p w14:paraId="7E5B76C8" w14:textId="652A26CC" w:rsidR="00B20D5F" w:rsidRDefault="00B20D5F">
      <w:pPr>
        <w:pStyle w:val="FootnoteText"/>
      </w:pPr>
      <w:r>
        <w:rPr>
          <w:rStyle w:val="FootnoteReference"/>
        </w:rPr>
        <w:footnoteRef/>
      </w:r>
      <w:r>
        <w:t xml:space="preserve"> </w:t>
      </w:r>
      <w:r w:rsidRPr="00B20D5F">
        <w:rPr>
          <w:i/>
          <w:iCs/>
        </w:rPr>
        <w:t>Islam, Authoritarianism, and Underdevelopment,</w:t>
      </w:r>
      <w:r>
        <w:t xml:space="preserve"> Ahmet T. Kuru, p. 168-170</w:t>
      </w:r>
    </w:p>
  </w:footnote>
  <w:footnote w:id="30">
    <w:p w14:paraId="5787E7BE" w14:textId="39A699F6" w:rsidR="00905DB8" w:rsidRDefault="00905DB8">
      <w:pPr>
        <w:pStyle w:val="FootnoteText"/>
      </w:pPr>
      <w:r>
        <w:rPr>
          <w:rStyle w:val="FootnoteReference"/>
        </w:rPr>
        <w:footnoteRef/>
      </w:r>
      <w:r>
        <w:t xml:space="preserve"> </w:t>
      </w:r>
      <w:r w:rsidRPr="00B20D5F">
        <w:rPr>
          <w:i/>
          <w:iCs/>
        </w:rPr>
        <w:t>Islam, Authoritarianism, and Underdevelopment,</w:t>
      </w:r>
      <w:r>
        <w:t xml:space="preserve"> Ahmet T. Kuru, p. </w:t>
      </w:r>
      <w:r w:rsidR="009621F8">
        <w:t>170,</w:t>
      </w:r>
      <w:r>
        <w:t>175</w:t>
      </w:r>
    </w:p>
  </w:footnote>
  <w:footnote w:id="31">
    <w:p w14:paraId="2AFC7688" w14:textId="743ACB88" w:rsidR="00905DB8" w:rsidRDefault="00905DB8">
      <w:pPr>
        <w:pStyle w:val="FootnoteText"/>
      </w:pPr>
      <w:r>
        <w:rPr>
          <w:rStyle w:val="FootnoteReference"/>
        </w:rPr>
        <w:footnoteRef/>
      </w:r>
      <w:r>
        <w:rPr>
          <w:i/>
          <w:iCs/>
        </w:rPr>
        <w:t xml:space="preserve"> </w:t>
      </w:r>
      <w:r w:rsidRPr="00B20D5F">
        <w:rPr>
          <w:i/>
          <w:iCs/>
        </w:rPr>
        <w:t>Islam, Authoritarianism, and Underdevelopment,</w:t>
      </w:r>
      <w:r>
        <w:t xml:space="preserve"> Ahmet T. Kuru, p. 229,230</w:t>
      </w:r>
    </w:p>
  </w:footnote>
  <w:footnote w:id="32">
    <w:p w14:paraId="1BB484C0" w14:textId="01D27CFE" w:rsidR="00905DB8" w:rsidRDefault="00905DB8">
      <w:pPr>
        <w:pStyle w:val="FootnoteText"/>
      </w:pPr>
      <w:r>
        <w:rPr>
          <w:rStyle w:val="FootnoteReference"/>
        </w:rPr>
        <w:footnoteRef/>
      </w:r>
      <w:r>
        <w:t xml:space="preserve"> </w:t>
      </w:r>
      <w:r w:rsidRPr="00905DB8">
        <w:rPr>
          <w:i/>
          <w:iCs/>
        </w:rPr>
        <w:t>Why Nations Fail</w:t>
      </w:r>
      <w:r>
        <w:t>, Acemoglu, Robinson, p. 343</w:t>
      </w:r>
    </w:p>
  </w:footnote>
  <w:footnote w:id="33">
    <w:p w14:paraId="0A6204A5" w14:textId="6BF817EB" w:rsidR="00013D91" w:rsidRDefault="00013D91">
      <w:pPr>
        <w:pStyle w:val="FootnoteText"/>
      </w:pPr>
      <w:r>
        <w:rPr>
          <w:rStyle w:val="FootnoteReference"/>
        </w:rPr>
        <w:footnoteRef/>
      </w:r>
      <w:r>
        <w:t xml:space="preserve"> </w:t>
      </w:r>
      <w:r w:rsidRPr="007B56E9">
        <w:rPr>
          <w:i/>
          <w:iCs/>
        </w:rPr>
        <w:t>Lost Enlightenment</w:t>
      </w:r>
      <w:r>
        <w:t>, Frederick Starr, p. 385-387</w:t>
      </w:r>
    </w:p>
  </w:footnote>
  <w:footnote w:id="34">
    <w:p w14:paraId="6097E51B" w14:textId="7CCA0542" w:rsidR="007B56E9" w:rsidRDefault="007B56E9">
      <w:pPr>
        <w:pStyle w:val="FootnoteText"/>
      </w:pPr>
      <w:r>
        <w:rPr>
          <w:rStyle w:val="FootnoteReference"/>
        </w:rPr>
        <w:footnoteRef/>
      </w:r>
      <w:r>
        <w:t xml:space="preserve"> </w:t>
      </w:r>
      <w:r w:rsidRPr="00B20D5F">
        <w:rPr>
          <w:i/>
          <w:iCs/>
        </w:rPr>
        <w:t>Islam, Authoritarianism, and Underdevelopment,</w:t>
      </w:r>
      <w:r>
        <w:t xml:space="preserve"> Ahmet T. Kuru, p. 42</w:t>
      </w:r>
    </w:p>
  </w:footnote>
  <w:footnote w:id="35">
    <w:p w14:paraId="59463AB7" w14:textId="32A7A9CC" w:rsidR="009621F8" w:rsidRDefault="009621F8">
      <w:pPr>
        <w:pStyle w:val="FootnoteText"/>
      </w:pPr>
      <w:r>
        <w:rPr>
          <w:rStyle w:val="FootnoteReference"/>
        </w:rPr>
        <w:footnoteRef/>
      </w:r>
      <w:r>
        <w:t xml:space="preserve"> </w:t>
      </w:r>
      <w:r w:rsidRPr="00B20D5F">
        <w:rPr>
          <w:i/>
          <w:iCs/>
        </w:rPr>
        <w:t>Islam, Authoritarianism, and Underdevelopment,</w:t>
      </w:r>
      <w:r>
        <w:t xml:space="preserve"> Ahmet T. Kuru, p. 60</w:t>
      </w:r>
    </w:p>
  </w:footnote>
  <w:footnote w:id="36">
    <w:p w14:paraId="7324773B" w14:textId="49152EF0" w:rsidR="00457ADA" w:rsidRDefault="00457ADA">
      <w:pPr>
        <w:pStyle w:val="FootnoteText"/>
      </w:pPr>
      <w:r>
        <w:rPr>
          <w:rStyle w:val="FootnoteReference"/>
        </w:rPr>
        <w:footnoteRef/>
      </w:r>
      <w:r>
        <w:t xml:space="preserve"> </w:t>
      </w:r>
      <w:r w:rsidRPr="00B20D5F">
        <w:rPr>
          <w:i/>
          <w:iCs/>
        </w:rPr>
        <w:t>Islam, Authoritarianism, and Underdevelopment,</w:t>
      </w:r>
      <w:r>
        <w:t xml:space="preserve"> Ahmet T. Kuru, p. 168</w:t>
      </w:r>
    </w:p>
  </w:footnote>
  <w:footnote w:id="37">
    <w:p w14:paraId="1019B217" w14:textId="50874957" w:rsidR="009621F8" w:rsidRDefault="009621F8">
      <w:pPr>
        <w:pStyle w:val="FootnoteText"/>
      </w:pPr>
      <w:r>
        <w:rPr>
          <w:rStyle w:val="FootnoteReference"/>
        </w:rPr>
        <w:footnoteRef/>
      </w:r>
      <w:r>
        <w:t xml:space="preserve"> </w:t>
      </w:r>
      <w:r w:rsidRPr="00B20D5F">
        <w:rPr>
          <w:i/>
          <w:iCs/>
        </w:rPr>
        <w:t>Islam, Authoritarianism, and Underdevelopment,</w:t>
      </w:r>
      <w:r>
        <w:t xml:space="preserve"> Ahmet T. Kuru, p. 183,184</w:t>
      </w:r>
    </w:p>
  </w:footnote>
  <w:footnote w:id="38">
    <w:p w14:paraId="671EE5CD" w14:textId="59FD552B" w:rsidR="00457ADA" w:rsidRDefault="00457ADA">
      <w:pPr>
        <w:pStyle w:val="FootnoteText"/>
      </w:pPr>
      <w:r>
        <w:rPr>
          <w:rStyle w:val="FootnoteReference"/>
        </w:rPr>
        <w:footnoteRef/>
      </w:r>
      <w:r>
        <w:t xml:space="preserve"> </w:t>
      </w:r>
      <w:r w:rsidRPr="00B20D5F">
        <w:rPr>
          <w:i/>
          <w:iCs/>
        </w:rPr>
        <w:t>Islam, Authoritarianism, and Underdevelopment,</w:t>
      </w:r>
      <w:r>
        <w:t xml:space="preserve"> Ahmet T. Kuru, p. 185,193</w:t>
      </w:r>
    </w:p>
  </w:footnote>
  <w:footnote w:id="39">
    <w:p w14:paraId="60539D17" w14:textId="4BE89172" w:rsidR="00457ADA" w:rsidRDefault="00457ADA">
      <w:pPr>
        <w:pStyle w:val="FootnoteText"/>
      </w:pPr>
      <w:r>
        <w:rPr>
          <w:rStyle w:val="FootnoteReference"/>
        </w:rPr>
        <w:footnoteRef/>
      </w:r>
      <w:r>
        <w:t xml:space="preserve"> </w:t>
      </w:r>
      <w:r w:rsidRPr="00B20D5F">
        <w:rPr>
          <w:i/>
          <w:iCs/>
        </w:rPr>
        <w:t>Islam, Authoritarianism, and Underdevelopment,</w:t>
      </w:r>
      <w:r>
        <w:t xml:space="preserve"> Ahmet T. Kuru, p. 181,182</w:t>
      </w:r>
    </w:p>
  </w:footnote>
  <w:footnote w:id="40">
    <w:p w14:paraId="30684938" w14:textId="169800E3" w:rsidR="001C6AFB" w:rsidRDefault="001C6AFB">
      <w:pPr>
        <w:pStyle w:val="FootnoteText"/>
      </w:pPr>
      <w:r>
        <w:rPr>
          <w:rStyle w:val="FootnoteReference"/>
        </w:rPr>
        <w:footnoteRef/>
      </w:r>
      <w:r>
        <w:t xml:space="preserve"> </w:t>
      </w:r>
      <w:r w:rsidRPr="00B20D5F">
        <w:rPr>
          <w:i/>
          <w:iCs/>
        </w:rPr>
        <w:t>Islam, Authoritarianism, and Underdevelopment,</w:t>
      </w:r>
      <w:r>
        <w:t xml:space="preserve"> Ahmet T. Kuru, p. 176</w:t>
      </w:r>
    </w:p>
  </w:footnote>
  <w:footnote w:id="41">
    <w:p w14:paraId="09607C19" w14:textId="3CE5A880" w:rsidR="001C6AFB" w:rsidRDefault="001C6AFB">
      <w:pPr>
        <w:pStyle w:val="FootnoteText"/>
      </w:pPr>
      <w:r>
        <w:rPr>
          <w:rStyle w:val="FootnoteReference"/>
        </w:rPr>
        <w:footnoteRef/>
      </w:r>
      <w:r>
        <w:t xml:space="preserve"> </w:t>
      </w:r>
      <w:r w:rsidRPr="00B20D5F">
        <w:rPr>
          <w:i/>
          <w:iCs/>
        </w:rPr>
        <w:t>Islam, Authoritarianism, and Underdevelopment,</w:t>
      </w:r>
      <w:r>
        <w:t xml:space="preserve"> Ahmet T. Kuru, p. 60</w:t>
      </w:r>
    </w:p>
  </w:footnote>
  <w:footnote w:id="42">
    <w:p w14:paraId="691A5B63" w14:textId="4F798FC4" w:rsidR="006C1E48" w:rsidRDefault="006C1E48">
      <w:pPr>
        <w:pStyle w:val="FootnoteText"/>
      </w:pPr>
      <w:r>
        <w:rPr>
          <w:rStyle w:val="FootnoteReference"/>
        </w:rPr>
        <w:footnoteRef/>
      </w:r>
      <w:r>
        <w:t xml:space="preserve"> </w:t>
      </w:r>
      <w:r w:rsidRPr="006C1E48">
        <w:rPr>
          <w:i/>
          <w:iCs/>
        </w:rPr>
        <w:t>Why Nations Fail,</w:t>
      </w:r>
      <w:r>
        <w:t xml:space="preserve"> Acemoglu, Robinson, p. 463-464</w:t>
      </w:r>
    </w:p>
  </w:footnote>
  <w:footnote w:id="43">
    <w:p w14:paraId="760A83BB" w14:textId="1FF039D6" w:rsidR="00F8350A" w:rsidRDefault="00F8350A">
      <w:pPr>
        <w:pStyle w:val="FootnoteText"/>
      </w:pPr>
      <w:r>
        <w:rPr>
          <w:rStyle w:val="FootnoteReference"/>
        </w:rPr>
        <w:footnoteRef/>
      </w:r>
      <w:r>
        <w:t xml:space="preserve"> </w:t>
      </w:r>
      <w:r w:rsidRPr="006C1E48">
        <w:rPr>
          <w:i/>
          <w:iCs/>
        </w:rPr>
        <w:t>A Culture of Growth,</w:t>
      </w:r>
      <w:r>
        <w:t xml:space="preserve"> Joel Mokyr, p. 5</w:t>
      </w:r>
    </w:p>
  </w:footnote>
  <w:footnote w:id="44">
    <w:p w14:paraId="4CA17AB7" w14:textId="599F6117" w:rsidR="00F574EC" w:rsidRDefault="00F574EC">
      <w:pPr>
        <w:pStyle w:val="FootnoteText"/>
      </w:pPr>
      <w:r>
        <w:rPr>
          <w:rStyle w:val="FootnoteReference"/>
        </w:rPr>
        <w:footnoteRef/>
      </w:r>
      <w:r>
        <w:t xml:space="preserve"> </w:t>
      </w:r>
      <w:r w:rsidRPr="00F574EC">
        <w:rPr>
          <w:i/>
          <w:iCs/>
        </w:rPr>
        <w:t>Why Nations Fail,</w:t>
      </w:r>
      <w:r>
        <w:t xml:space="preserve"> Acemoglu, Robinson, p. 209</w:t>
      </w:r>
    </w:p>
  </w:footnote>
  <w:footnote w:id="45">
    <w:p w14:paraId="712C1C6D" w14:textId="65CE496F" w:rsidR="00F574EC" w:rsidRDefault="00F574EC">
      <w:pPr>
        <w:pStyle w:val="FootnoteText"/>
      </w:pPr>
      <w:r>
        <w:rPr>
          <w:rStyle w:val="FootnoteReference"/>
        </w:rPr>
        <w:footnoteRef/>
      </w:r>
      <w:r>
        <w:t xml:space="preserve"> </w:t>
      </w:r>
      <w:r w:rsidRPr="006C1E48">
        <w:rPr>
          <w:i/>
          <w:iCs/>
        </w:rPr>
        <w:t>A Culture of Growth,</w:t>
      </w:r>
      <w:r>
        <w:t xml:space="preserve"> Joel Mokyr, p. </w:t>
      </w:r>
      <w:r w:rsidR="0032578F">
        <w:t>5,6</w:t>
      </w:r>
    </w:p>
  </w:footnote>
  <w:footnote w:id="46">
    <w:p w14:paraId="6DCDA824" w14:textId="1671E123" w:rsidR="006C1E48" w:rsidRDefault="006C1E48">
      <w:pPr>
        <w:pStyle w:val="FootnoteText"/>
      </w:pPr>
      <w:r>
        <w:rPr>
          <w:rStyle w:val="FootnoteReference"/>
        </w:rPr>
        <w:footnoteRef/>
      </w:r>
      <w:r>
        <w:t xml:space="preserve"> </w:t>
      </w:r>
      <w:r w:rsidRPr="006C1E48">
        <w:rPr>
          <w:i/>
          <w:iCs/>
        </w:rPr>
        <w:t>A Culture of Growth,</w:t>
      </w:r>
      <w:r>
        <w:t xml:space="preserve"> Joel Mokyr, p. 11</w:t>
      </w:r>
    </w:p>
  </w:footnote>
  <w:footnote w:id="47">
    <w:p w14:paraId="4E3E67E8" w14:textId="0A535D3C" w:rsidR="00F0318A" w:rsidRDefault="00F0318A">
      <w:pPr>
        <w:pStyle w:val="FootnoteText"/>
      </w:pPr>
      <w:r>
        <w:rPr>
          <w:rStyle w:val="FootnoteReference"/>
        </w:rPr>
        <w:footnoteRef/>
      </w:r>
      <w:r>
        <w:t xml:space="preserve"> </w:t>
      </w:r>
      <w:r w:rsidRPr="006C1E48">
        <w:rPr>
          <w:i/>
          <w:iCs/>
        </w:rPr>
        <w:t>A Culture of Growth,</w:t>
      </w:r>
      <w:r>
        <w:t xml:space="preserve"> Joel Mokyr, p. 11</w:t>
      </w:r>
    </w:p>
  </w:footnote>
  <w:footnote w:id="48">
    <w:p w14:paraId="7D8B0F37" w14:textId="0767F165" w:rsidR="00F0318A" w:rsidRDefault="00F0318A">
      <w:pPr>
        <w:pStyle w:val="FootnoteText"/>
      </w:pPr>
      <w:r>
        <w:rPr>
          <w:rStyle w:val="FootnoteReference"/>
        </w:rPr>
        <w:footnoteRef/>
      </w:r>
      <w:r>
        <w:t xml:space="preserve"> </w:t>
      </w:r>
      <w:r w:rsidRPr="006C1E48">
        <w:rPr>
          <w:i/>
          <w:iCs/>
        </w:rPr>
        <w:t>A Culture of Growth,</w:t>
      </w:r>
      <w:r>
        <w:t xml:space="preserve"> Joel Mokyr, p. 14</w:t>
      </w:r>
    </w:p>
  </w:footnote>
  <w:footnote w:id="49">
    <w:p w14:paraId="714A93AE" w14:textId="46150DA4" w:rsidR="00A7229E" w:rsidRDefault="00A7229E">
      <w:pPr>
        <w:pStyle w:val="FootnoteText"/>
      </w:pPr>
      <w:r>
        <w:rPr>
          <w:rStyle w:val="FootnoteReference"/>
        </w:rPr>
        <w:footnoteRef/>
      </w:r>
      <w:r>
        <w:t xml:space="preserve"> </w:t>
      </w:r>
      <w:r w:rsidRPr="006C1E48">
        <w:rPr>
          <w:i/>
          <w:iCs/>
        </w:rPr>
        <w:t>A Culture of Growth,</w:t>
      </w:r>
      <w:r>
        <w:t xml:space="preserve"> Joel Mokyr, p. </w:t>
      </w:r>
      <w:r>
        <w:t>121</w:t>
      </w:r>
    </w:p>
  </w:footnote>
  <w:footnote w:id="50">
    <w:p w14:paraId="1238EC72" w14:textId="3B4CD50A" w:rsidR="008B61C3" w:rsidRDefault="008B61C3">
      <w:pPr>
        <w:pStyle w:val="FootnoteText"/>
      </w:pPr>
      <w:r>
        <w:rPr>
          <w:rStyle w:val="FootnoteReference"/>
        </w:rPr>
        <w:footnoteRef/>
      </w:r>
      <w:r>
        <w:t xml:space="preserve"> </w:t>
      </w:r>
      <w:r w:rsidRPr="006C1E48">
        <w:rPr>
          <w:i/>
          <w:iCs/>
        </w:rPr>
        <w:t>A Culture of Growth,</w:t>
      </w:r>
      <w:r>
        <w:t xml:space="preserve"> Joel Mokyr, p. </w:t>
      </w:r>
      <w:r>
        <w:t>227</w:t>
      </w:r>
    </w:p>
  </w:footnote>
  <w:footnote w:id="51">
    <w:p w14:paraId="70D4CFF3" w14:textId="7815A07E" w:rsidR="000E776C" w:rsidRDefault="000E776C">
      <w:pPr>
        <w:pStyle w:val="FootnoteText"/>
      </w:pPr>
      <w:r>
        <w:rPr>
          <w:rStyle w:val="FootnoteReference"/>
        </w:rPr>
        <w:footnoteRef/>
      </w:r>
      <w:r>
        <w:t xml:space="preserve"> </w:t>
      </w:r>
      <w:r w:rsidRPr="006C1E48">
        <w:rPr>
          <w:i/>
          <w:iCs/>
        </w:rPr>
        <w:t>A Culture of Growth,</w:t>
      </w:r>
      <w:r>
        <w:t xml:space="preserve"> Joel Mokyr, p. 1</w:t>
      </w:r>
      <w:r>
        <w:t>82</w:t>
      </w:r>
    </w:p>
  </w:footnote>
  <w:footnote w:id="52">
    <w:p w14:paraId="10E3B4F6" w14:textId="1878EF04" w:rsidR="000E776C" w:rsidRDefault="000E776C">
      <w:pPr>
        <w:pStyle w:val="FootnoteText"/>
      </w:pPr>
      <w:r>
        <w:rPr>
          <w:rStyle w:val="FootnoteReference"/>
        </w:rPr>
        <w:footnoteRef/>
      </w:r>
      <w:r>
        <w:t xml:space="preserve"> </w:t>
      </w:r>
      <w:r w:rsidRPr="006C1E48">
        <w:rPr>
          <w:i/>
          <w:iCs/>
        </w:rPr>
        <w:t>A Culture of Growth,</w:t>
      </w:r>
      <w:r>
        <w:t xml:space="preserve"> Joel Mokyr, p. 1</w:t>
      </w:r>
      <w:r>
        <w:t>89</w:t>
      </w:r>
    </w:p>
  </w:footnote>
  <w:footnote w:id="53">
    <w:p w14:paraId="079706EE" w14:textId="341666EF" w:rsidR="005A6B58" w:rsidRDefault="005A6B58">
      <w:pPr>
        <w:pStyle w:val="FootnoteText"/>
      </w:pPr>
      <w:r>
        <w:rPr>
          <w:rStyle w:val="FootnoteReference"/>
        </w:rPr>
        <w:footnoteRef/>
      </w:r>
      <w:r>
        <w:t xml:space="preserve"> </w:t>
      </w:r>
      <w:r w:rsidR="007B56E9" w:rsidRPr="007B56E9">
        <w:rPr>
          <w:i/>
          <w:iCs/>
        </w:rPr>
        <w:t>Lost Enlightenment</w:t>
      </w:r>
      <w:r w:rsidR="007B56E9">
        <w:t>, Frederick Starr, p. 521</w:t>
      </w:r>
    </w:p>
  </w:footnote>
  <w:footnote w:id="54">
    <w:p w14:paraId="3CE5EF96" w14:textId="53C316B5" w:rsidR="007B56E9" w:rsidRDefault="007B56E9">
      <w:pPr>
        <w:pStyle w:val="FootnoteText"/>
      </w:pPr>
      <w:r>
        <w:rPr>
          <w:rStyle w:val="FootnoteReference"/>
        </w:rPr>
        <w:footnoteRef/>
      </w:r>
      <w:r>
        <w:t xml:space="preserve"> </w:t>
      </w:r>
      <w:r w:rsidRPr="00B20D5F">
        <w:rPr>
          <w:i/>
          <w:iCs/>
        </w:rPr>
        <w:t>Islam, Authoritarianism, and Underdevelopment,</w:t>
      </w:r>
      <w:r>
        <w:t xml:space="preserve"> Ahmet T. Kuru, p. 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04FE" w14:textId="560FA420" w:rsidR="003F3A30" w:rsidRDefault="003F3A30">
    <w:pPr>
      <w:spacing w:line="264" w:lineRule="auto"/>
    </w:pPr>
    <w:r>
      <w:rPr>
        <w:noProof/>
        <w:color w:val="000000"/>
      </w:rPr>
      <mc:AlternateContent>
        <mc:Choice Requires="wps">
          <w:drawing>
            <wp:anchor distT="0" distB="0" distL="114300" distR="114300" simplePos="0" relativeHeight="251659264" behindDoc="0" locked="0" layoutInCell="1" allowOverlap="1" wp14:anchorId="54AA36C7" wp14:editId="210441C3">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14E2B0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4472C4" w:themeColor="accent1"/>
          <w:sz w:val="20"/>
          <w:szCs w:val="20"/>
        </w:rPr>
        <w:alias w:val="Title"/>
        <w:id w:val="15524250"/>
        <w:placeholder>
          <w:docPart w:val="46F1ABD93A89466C98FF3CEBD3D5DAC6"/>
        </w:placeholder>
        <w:dataBinding w:prefixMappings="xmlns:ns0='http://schemas.openxmlformats.org/package/2006/metadata/core-properties' xmlns:ns1='http://purl.org/dc/elements/1.1/'" w:xpath="/ns0:coreProperties[1]/ns1:title[1]" w:storeItemID="{6C3C8BC8-F283-45AE-878A-BAB7291924A1}"/>
        <w:text/>
      </w:sdtPr>
      <w:sdtEndPr/>
      <w:sdtContent>
        <w:r>
          <w:rPr>
            <w:color w:val="4472C4" w:themeColor="accent1"/>
            <w:sz w:val="20"/>
            <w:szCs w:val="20"/>
          </w:rPr>
          <w:t>A Culture of Ideology, Innovation, and Policies</w:t>
        </w:r>
      </w:sdtContent>
    </w:sdt>
  </w:p>
  <w:p w14:paraId="6B4D7EDF" w14:textId="77777777" w:rsidR="003F3A30" w:rsidRDefault="003F3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E48A4"/>
    <w:multiLevelType w:val="hybridMultilevel"/>
    <w:tmpl w:val="AE5EE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B0"/>
    <w:rsid w:val="000136DB"/>
    <w:rsid w:val="00013D91"/>
    <w:rsid w:val="000205D8"/>
    <w:rsid w:val="000710F8"/>
    <w:rsid w:val="000E7135"/>
    <w:rsid w:val="000E776C"/>
    <w:rsid w:val="000F01DD"/>
    <w:rsid w:val="00121D48"/>
    <w:rsid w:val="00126EBE"/>
    <w:rsid w:val="001454B0"/>
    <w:rsid w:val="001C6AFB"/>
    <w:rsid w:val="001F1B60"/>
    <w:rsid w:val="002114D1"/>
    <w:rsid w:val="00244DFE"/>
    <w:rsid w:val="00283947"/>
    <w:rsid w:val="002C7C21"/>
    <w:rsid w:val="0032276D"/>
    <w:rsid w:val="0032578F"/>
    <w:rsid w:val="00372CE4"/>
    <w:rsid w:val="00372DDF"/>
    <w:rsid w:val="00374A59"/>
    <w:rsid w:val="003A706D"/>
    <w:rsid w:val="003D3F3A"/>
    <w:rsid w:val="003F3A30"/>
    <w:rsid w:val="00442A28"/>
    <w:rsid w:val="00457ADA"/>
    <w:rsid w:val="00463503"/>
    <w:rsid w:val="004A1450"/>
    <w:rsid w:val="005442CE"/>
    <w:rsid w:val="005A6B58"/>
    <w:rsid w:val="00646776"/>
    <w:rsid w:val="006C1E48"/>
    <w:rsid w:val="006E62B6"/>
    <w:rsid w:val="007335EB"/>
    <w:rsid w:val="00736896"/>
    <w:rsid w:val="00773E1F"/>
    <w:rsid w:val="00775A17"/>
    <w:rsid w:val="007B56E9"/>
    <w:rsid w:val="008168B7"/>
    <w:rsid w:val="00817573"/>
    <w:rsid w:val="00832EF6"/>
    <w:rsid w:val="008B61C3"/>
    <w:rsid w:val="00903948"/>
    <w:rsid w:val="00905DB8"/>
    <w:rsid w:val="00935D85"/>
    <w:rsid w:val="00940D45"/>
    <w:rsid w:val="00953054"/>
    <w:rsid w:val="009621F8"/>
    <w:rsid w:val="009E25EA"/>
    <w:rsid w:val="00A24500"/>
    <w:rsid w:val="00A7229E"/>
    <w:rsid w:val="00A809E5"/>
    <w:rsid w:val="00A93DE9"/>
    <w:rsid w:val="00A950AC"/>
    <w:rsid w:val="00B20D5F"/>
    <w:rsid w:val="00B307FE"/>
    <w:rsid w:val="00BA074B"/>
    <w:rsid w:val="00BC63EA"/>
    <w:rsid w:val="00BD6962"/>
    <w:rsid w:val="00C239B7"/>
    <w:rsid w:val="00C5039E"/>
    <w:rsid w:val="00C733DB"/>
    <w:rsid w:val="00C829C0"/>
    <w:rsid w:val="00CB1C65"/>
    <w:rsid w:val="00CB2246"/>
    <w:rsid w:val="00CF4747"/>
    <w:rsid w:val="00CF778A"/>
    <w:rsid w:val="00D13753"/>
    <w:rsid w:val="00D50736"/>
    <w:rsid w:val="00D77E53"/>
    <w:rsid w:val="00DB7234"/>
    <w:rsid w:val="00E667B0"/>
    <w:rsid w:val="00EF484B"/>
    <w:rsid w:val="00EF6729"/>
    <w:rsid w:val="00F0318A"/>
    <w:rsid w:val="00F574EC"/>
    <w:rsid w:val="00F71C71"/>
    <w:rsid w:val="00F8350A"/>
    <w:rsid w:val="00F90A2A"/>
    <w:rsid w:val="00F9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7F49"/>
  <w15:chartTrackingRefBased/>
  <w15:docId w15:val="{BAD75A47-AD55-4FAA-B4D6-533AF6DD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D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B0"/>
    <w:pPr>
      <w:ind w:left="720"/>
      <w:contextualSpacing/>
    </w:pPr>
  </w:style>
  <w:style w:type="paragraph" w:styleId="FootnoteText">
    <w:name w:val="footnote text"/>
    <w:basedOn w:val="Normal"/>
    <w:link w:val="FootnoteTextChar"/>
    <w:uiPriority w:val="99"/>
    <w:semiHidden/>
    <w:unhideWhenUsed/>
    <w:rsid w:val="00145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4B0"/>
    <w:rPr>
      <w:sz w:val="20"/>
      <w:szCs w:val="20"/>
    </w:rPr>
  </w:style>
  <w:style w:type="character" w:styleId="FootnoteReference">
    <w:name w:val="footnote reference"/>
    <w:basedOn w:val="DefaultParagraphFont"/>
    <w:uiPriority w:val="99"/>
    <w:semiHidden/>
    <w:unhideWhenUsed/>
    <w:rsid w:val="001454B0"/>
    <w:rPr>
      <w:vertAlign w:val="superscript"/>
    </w:rPr>
  </w:style>
  <w:style w:type="paragraph" w:styleId="NoSpacing">
    <w:name w:val="No Spacing"/>
    <w:link w:val="NoSpacingChar"/>
    <w:uiPriority w:val="1"/>
    <w:qFormat/>
    <w:rsid w:val="00B307FE"/>
    <w:pPr>
      <w:spacing w:after="0" w:line="240" w:lineRule="auto"/>
    </w:pPr>
    <w:rPr>
      <w:rFonts w:eastAsiaTheme="minorEastAsia"/>
    </w:rPr>
  </w:style>
  <w:style w:type="character" w:customStyle="1" w:styleId="NoSpacingChar">
    <w:name w:val="No Spacing Char"/>
    <w:basedOn w:val="DefaultParagraphFont"/>
    <w:link w:val="NoSpacing"/>
    <w:uiPriority w:val="1"/>
    <w:rsid w:val="00B307FE"/>
    <w:rPr>
      <w:rFonts w:eastAsiaTheme="minorEastAsia"/>
    </w:rPr>
  </w:style>
  <w:style w:type="paragraph" w:styleId="EndnoteText">
    <w:name w:val="endnote text"/>
    <w:basedOn w:val="Normal"/>
    <w:link w:val="EndnoteTextChar"/>
    <w:uiPriority w:val="99"/>
    <w:semiHidden/>
    <w:unhideWhenUsed/>
    <w:rsid w:val="004A14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450"/>
    <w:rPr>
      <w:sz w:val="20"/>
      <w:szCs w:val="20"/>
    </w:rPr>
  </w:style>
  <w:style w:type="character" w:styleId="EndnoteReference">
    <w:name w:val="endnote reference"/>
    <w:basedOn w:val="DefaultParagraphFont"/>
    <w:uiPriority w:val="99"/>
    <w:semiHidden/>
    <w:unhideWhenUsed/>
    <w:rsid w:val="004A1450"/>
    <w:rPr>
      <w:vertAlign w:val="superscript"/>
    </w:rPr>
  </w:style>
  <w:style w:type="paragraph" w:styleId="Header">
    <w:name w:val="header"/>
    <w:basedOn w:val="Normal"/>
    <w:link w:val="HeaderChar"/>
    <w:uiPriority w:val="99"/>
    <w:unhideWhenUsed/>
    <w:rsid w:val="003F3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30"/>
  </w:style>
  <w:style w:type="paragraph" w:styleId="Footer">
    <w:name w:val="footer"/>
    <w:basedOn w:val="Normal"/>
    <w:link w:val="FooterChar"/>
    <w:uiPriority w:val="99"/>
    <w:unhideWhenUsed/>
    <w:rsid w:val="003F3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30"/>
  </w:style>
  <w:style w:type="character" w:customStyle="1" w:styleId="Heading1Char">
    <w:name w:val="Heading 1 Char"/>
    <w:basedOn w:val="DefaultParagraphFont"/>
    <w:link w:val="Heading1"/>
    <w:uiPriority w:val="9"/>
    <w:rsid w:val="00121D4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2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916">
      <w:bodyDiv w:val="1"/>
      <w:marLeft w:val="0"/>
      <w:marRight w:val="0"/>
      <w:marTop w:val="0"/>
      <w:marBottom w:val="0"/>
      <w:divBdr>
        <w:top w:val="none" w:sz="0" w:space="0" w:color="auto"/>
        <w:left w:val="none" w:sz="0" w:space="0" w:color="auto"/>
        <w:bottom w:val="none" w:sz="0" w:space="0" w:color="auto"/>
        <w:right w:val="none" w:sz="0" w:space="0" w:color="auto"/>
      </w:divBdr>
    </w:div>
    <w:div w:id="14174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1ABD93A89466C98FF3CEBD3D5DAC6"/>
        <w:category>
          <w:name w:val="General"/>
          <w:gallery w:val="placeholder"/>
        </w:category>
        <w:types>
          <w:type w:val="bbPlcHdr"/>
        </w:types>
        <w:behaviors>
          <w:behavior w:val="content"/>
        </w:behaviors>
        <w:guid w:val="{61CD0744-6C99-4F03-999B-DEAA0CB31601}"/>
      </w:docPartPr>
      <w:docPartBody>
        <w:p w:rsidR="001A2C12" w:rsidRDefault="00BA624D" w:rsidP="00BA624D">
          <w:pPr>
            <w:pStyle w:val="46F1ABD93A89466C98FF3CEBD3D5DAC6"/>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4D"/>
    <w:rsid w:val="001A2C12"/>
    <w:rsid w:val="00643F6F"/>
    <w:rsid w:val="00BA624D"/>
    <w:rsid w:val="00E8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F1ABD93A89466C98FF3CEBD3D5DAC6">
    <w:name w:val="46F1ABD93A89466C98FF3CEBD3D5DAC6"/>
    <w:rsid w:val="00BA6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Ace12</b:Tag>
    <b:SourceType>Book</b:SourceType>
    <b:Guid>{E8454274-19CF-4815-84DF-4EB1478B840D}</b:Guid>
    <b:Author>
      <b:Author>
        <b:NameList>
          <b:Person>
            <b:Last>Acemoglu</b:Last>
            <b:First>Doran</b:First>
          </b:Person>
          <b:Person>
            <b:Last>Robinson</b:Last>
            <b:First>James</b:First>
            <b:Middle>A.</b:Middle>
          </b:Person>
        </b:NameList>
      </b:Author>
    </b:Author>
    <b:Title>Why Nations Fail</b:Title>
    <b:Year>2012</b:Year>
    <b:City>London</b:City>
    <b:Publisher>Crown Business</b:Publisher>
    <b:RefOrder>1</b:RefOrder>
  </b:Source>
  <b:Source>
    <b:Tag>Joe16</b:Tag>
    <b:SourceType>Book</b:SourceType>
    <b:Guid>{09F51CDE-90A6-4C97-B7FF-5641BC02060F}</b:Guid>
    <b:Author>
      <b:Author>
        <b:NameList>
          <b:Person>
            <b:Last>Mokyr</b:Last>
            <b:First>Joel</b:First>
          </b:Person>
        </b:NameList>
      </b:Author>
    </b:Author>
    <b:Title>A Culture of Growth: The Origins of the Modern Economy</b:Title>
    <b:Year>2016</b:Year>
    <b:City>Princeton</b:City>
    <b:Publisher>Princeton University Press</b:Publisher>
    <b:RefOrder>2</b:RefOrder>
  </b:Source>
  <b:Source>
    <b:Tag>Kur19</b:Tag>
    <b:SourceType>Book</b:SourceType>
    <b:Guid>{C62B8699-349B-4D7E-A3A5-C5E63832313F}</b:Guid>
    <b:Author>
      <b:Author>
        <b:NameList>
          <b:Person>
            <b:Last>Kuru</b:Last>
            <b:First>Ahmet</b:First>
            <b:Middle>T.</b:Middle>
          </b:Person>
        </b:NameList>
      </b:Author>
    </b:Author>
    <b:Title>Islam, Authoritarianism, and Underdevelopment</b:Title>
    <b:Year>2019</b:Year>
    <b:City>Cambridge</b:City>
    <b:Publisher>Cambridge University Press</b:Publishe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A90979-7F6A-42CE-91A7-05CC310B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13</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 Culture of Ideology, Innovation, and Policies</vt:lpstr>
    </vt:vector>
  </TitlesOfParts>
  <Company>comparative international development and innovation</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Culture of Ideology, Innovation, and Policies</dc:title>
  <dc:subject>A Critique of Why Nations Fail when analyzed through the context of Lost Enlightenment, Islam, Authoritarianism, and Underdevelopment, and A Culture of Growth</dc:subject>
  <dc:creator>Jaea Huntley Compton</dc:creator>
  <cp:keywords/>
  <dc:description/>
  <cp:lastModifiedBy>Jaea Compton</cp:lastModifiedBy>
  <cp:revision>32</cp:revision>
  <cp:lastPrinted>2021-08-13T14:32:00Z</cp:lastPrinted>
  <dcterms:created xsi:type="dcterms:W3CDTF">2021-08-09T13:43:00Z</dcterms:created>
  <dcterms:modified xsi:type="dcterms:W3CDTF">2021-08-13T17:29:00Z</dcterms:modified>
</cp:coreProperties>
</file>