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7FB4C" w14:textId="77777777" w:rsidR="009419EB" w:rsidRDefault="009419EB">
      <w:pPr>
        <w:pBdr>
          <w:top w:val="nil"/>
          <w:left w:val="nil"/>
          <w:bottom w:val="nil"/>
          <w:right w:val="nil"/>
          <w:between w:val="nil"/>
        </w:pBdr>
        <w:spacing w:after="0" w:line="240" w:lineRule="auto"/>
        <w:rPr>
          <w:color w:val="000000"/>
          <w:sz w:val="2"/>
          <w:szCs w:val="2"/>
        </w:rPr>
      </w:pPr>
    </w:p>
    <w:p w14:paraId="26607D02" w14:textId="77777777" w:rsidR="009419EB" w:rsidRDefault="00000000">
      <w:r>
        <w:rPr>
          <w:noProof/>
          <w:color w:val="4472C4"/>
          <w:sz w:val="36"/>
          <w:szCs w:val="36"/>
        </w:rPr>
        <mc:AlternateContent>
          <mc:Choice Requires="wpg">
            <w:drawing>
              <wp:anchor distT="0" distB="0" distL="0" distR="0" simplePos="0" relativeHeight="251658240" behindDoc="1" locked="0" layoutInCell="1" hidden="0" allowOverlap="1" wp14:anchorId="54787728" wp14:editId="2C802C53">
                <wp:simplePos x="0" y="0"/>
                <wp:positionH relativeFrom="page">
                  <wp:posOffset>1709420</wp:posOffset>
                </wp:positionH>
                <wp:positionV relativeFrom="page">
                  <wp:posOffset>3017520</wp:posOffset>
                </wp:positionV>
                <wp:extent cx="5494369" cy="5696712"/>
                <wp:effectExtent l="0" t="0" r="0" b="0"/>
                <wp:wrapNone/>
                <wp:docPr id="218" name="Group 218"/>
                <wp:cNvGraphicFramePr/>
                <a:graphic xmlns:a="http://schemas.openxmlformats.org/drawingml/2006/main">
                  <a:graphicData uri="http://schemas.microsoft.com/office/word/2010/wordprocessingGroup">
                    <wpg:wgp>
                      <wpg:cNvGrpSpPr/>
                      <wpg:grpSpPr>
                        <a:xfrm>
                          <a:off x="0" y="0"/>
                          <a:ext cx="5494369" cy="5696712"/>
                          <a:chOff x="2598800" y="931625"/>
                          <a:chExt cx="5494400" cy="5696750"/>
                        </a:xfrm>
                      </wpg:grpSpPr>
                      <wpg:grpSp>
                        <wpg:cNvPr id="1" name="Group 1"/>
                        <wpg:cNvGrpSpPr/>
                        <wpg:grpSpPr>
                          <a:xfrm>
                            <a:off x="2598816" y="931644"/>
                            <a:ext cx="5494369" cy="5696712"/>
                            <a:chOff x="0" y="0"/>
                            <a:chExt cx="4329113" cy="4491038"/>
                          </a:xfrm>
                        </wpg:grpSpPr>
                        <wps:wsp>
                          <wps:cNvPr id="2" name="Rectangle 2"/>
                          <wps:cNvSpPr/>
                          <wps:spPr>
                            <a:xfrm>
                              <a:off x="0" y="0"/>
                              <a:ext cx="4329100" cy="4491025"/>
                            </a:xfrm>
                            <a:prstGeom prst="rect">
                              <a:avLst/>
                            </a:prstGeom>
                            <a:noFill/>
                            <a:ln>
                              <a:noFill/>
                            </a:ln>
                          </wps:spPr>
                          <wps:txbx>
                            <w:txbxContent>
                              <w:p w14:paraId="796127F9" w14:textId="77777777" w:rsidR="009419EB" w:rsidRDefault="009419EB">
                                <w:pPr>
                                  <w:spacing w:after="0" w:line="240" w:lineRule="auto"/>
                                  <w:textDirection w:val="btLr"/>
                                </w:pPr>
                              </w:p>
                            </w:txbxContent>
                          </wps:txbx>
                          <wps:bodyPr spcFirstLastPara="1" wrap="square" lIns="91425" tIns="91425" rIns="91425" bIns="91425" anchor="ctr" anchorCtr="0">
                            <a:noAutofit/>
                          </wps:bodyPr>
                        </wps:wsp>
                        <wps:wsp>
                          <wps:cNvPr id="3" name="Freeform: Shape 3"/>
                          <wps:cNvSpPr/>
                          <wps:spPr>
                            <a:xfrm>
                              <a:off x="1501775" y="0"/>
                              <a:ext cx="2827338" cy="2835275"/>
                            </a:xfrm>
                            <a:custGeom>
                              <a:avLst/>
                              <a:gdLst/>
                              <a:ahLst/>
                              <a:cxnLst/>
                              <a:rect l="l" t="t" r="r" b="b"/>
                              <a:pathLst>
                                <a:path w="1781" h="1786" extrusionOk="0">
                                  <a:moveTo>
                                    <a:pt x="4" y="1786"/>
                                  </a:moveTo>
                                  <a:lnTo>
                                    <a:pt x="0" y="1782"/>
                                  </a:lnTo>
                                  <a:lnTo>
                                    <a:pt x="1776" y="0"/>
                                  </a:lnTo>
                                  <a:lnTo>
                                    <a:pt x="1781" y="5"/>
                                  </a:lnTo>
                                  <a:lnTo>
                                    <a:pt x="4" y="1786"/>
                                  </a:lnTo>
                                  <a:close/>
                                </a:path>
                              </a:pathLst>
                            </a:custGeom>
                            <a:solidFill>
                              <a:srgbClr val="8296B0"/>
                            </a:solidFill>
                            <a:ln>
                              <a:noFill/>
                            </a:ln>
                          </wps:spPr>
                          <wps:bodyPr spcFirstLastPara="1" wrap="square" lIns="91425" tIns="91425" rIns="91425" bIns="91425" anchor="ctr" anchorCtr="0">
                            <a:noAutofit/>
                          </wps:bodyPr>
                        </wps:wsp>
                        <wps:wsp>
                          <wps:cNvPr id="4" name="Freeform: Shape 4"/>
                          <wps:cNvSpPr/>
                          <wps:spPr>
                            <a:xfrm>
                              <a:off x="782637" y="227013"/>
                              <a:ext cx="3546475" cy="3546475"/>
                            </a:xfrm>
                            <a:custGeom>
                              <a:avLst/>
                              <a:gdLst/>
                              <a:ahLst/>
                              <a:cxnLst/>
                              <a:rect l="l" t="t" r="r" b="b"/>
                              <a:pathLst>
                                <a:path w="2234" h="2234" extrusionOk="0">
                                  <a:moveTo>
                                    <a:pt x="5" y="2234"/>
                                  </a:moveTo>
                                  <a:lnTo>
                                    <a:pt x="0" y="2229"/>
                                  </a:lnTo>
                                  <a:lnTo>
                                    <a:pt x="2229" y="0"/>
                                  </a:lnTo>
                                  <a:lnTo>
                                    <a:pt x="2234" y="5"/>
                                  </a:lnTo>
                                  <a:lnTo>
                                    <a:pt x="5" y="2234"/>
                                  </a:lnTo>
                                  <a:close/>
                                </a:path>
                              </a:pathLst>
                            </a:custGeom>
                            <a:solidFill>
                              <a:srgbClr val="8296B0"/>
                            </a:solidFill>
                            <a:ln>
                              <a:noFill/>
                            </a:ln>
                          </wps:spPr>
                          <wps:bodyPr spcFirstLastPara="1" wrap="square" lIns="91425" tIns="91425" rIns="91425" bIns="91425" anchor="ctr" anchorCtr="0">
                            <a:noAutofit/>
                          </wps:bodyPr>
                        </wps:wsp>
                        <wps:wsp>
                          <wps:cNvPr id="5" name="Freeform: Shape 5"/>
                          <wps:cNvSpPr/>
                          <wps:spPr>
                            <a:xfrm>
                              <a:off x="841375" y="109538"/>
                              <a:ext cx="3487738" cy="3487738"/>
                            </a:xfrm>
                            <a:custGeom>
                              <a:avLst/>
                              <a:gdLst/>
                              <a:ahLst/>
                              <a:cxnLst/>
                              <a:rect l="l" t="t" r="r" b="b"/>
                              <a:pathLst>
                                <a:path w="2197" h="2197" extrusionOk="0">
                                  <a:moveTo>
                                    <a:pt x="9" y="2197"/>
                                  </a:moveTo>
                                  <a:lnTo>
                                    <a:pt x="0" y="2193"/>
                                  </a:lnTo>
                                  <a:lnTo>
                                    <a:pt x="2188" y="0"/>
                                  </a:lnTo>
                                  <a:lnTo>
                                    <a:pt x="2197" y="10"/>
                                  </a:lnTo>
                                  <a:lnTo>
                                    <a:pt x="9" y="2197"/>
                                  </a:lnTo>
                                  <a:close/>
                                </a:path>
                              </a:pathLst>
                            </a:custGeom>
                            <a:solidFill>
                              <a:srgbClr val="8296B0"/>
                            </a:solidFill>
                            <a:ln>
                              <a:noFill/>
                            </a:ln>
                          </wps:spPr>
                          <wps:bodyPr spcFirstLastPara="1" wrap="square" lIns="91425" tIns="91425" rIns="91425" bIns="91425" anchor="ctr" anchorCtr="0">
                            <a:noAutofit/>
                          </wps:bodyPr>
                        </wps:wsp>
                        <wps:wsp>
                          <wps:cNvPr id="6" name="Freeform: Shape 6"/>
                          <wps:cNvSpPr/>
                          <wps:spPr>
                            <a:xfrm>
                              <a:off x="1216025" y="498475"/>
                              <a:ext cx="3113088" cy="3121025"/>
                            </a:xfrm>
                            <a:custGeom>
                              <a:avLst/>
                              <a:gdLst/>
                              <a:ahLst/>
                              <a:cxnLst/>
                              <a:rect l="l" t="t" r="r" b="b"/>
                              <a:pathLst>
                                <a:path w="1961" h="1966" extrusionOk="0">
                                  <a:moveTo>
                                    <a:pt x="9" y="1966"/>
                                  </a:moveTo>
                                  <a:lnTo>
                                    <a:pt x="0" y="1957"/>
                                  </a:lnTo>
                                  <a:lnTo>
                                    <a:pt x="1952" y="0"/>
                                  </a:lnTo>
                                  <a:lnTo>
                                    <a:pt x="1961" y="9"/>
                                  </a:lnTo>
                                  <a:lnTo>
                                    <a:pt x="9" y="1966"/>
                                  </a:lnTo>
                                  <a:close/>
                                </a:path>
                              </a:pathLst>
                            </a:custGeom>
                            <a:solidFill>
                              <a:srgbClr val="8296B0"/>
                            </a:solidFill>
                            <a:ln>
                              <a:noFill/>
                            </a:ln>
                          </wps:spPr>
                          <wps:bodyPr spcFirstLastPara="1" wrap="square" lIns="91425" tIns="91425" rIns="91425" bIns="91425" anchor="ctr" anchorCtr="0">
                            <a:noAutofit/>
                          </wps:bodyPr>
                        </wps:wsp>
                        <wps:wsp>
                          <wps:cNvPr id="7" name="Freeform: Shape 7"/>
                          <wps:cNvSpPr/>
                          <wps:spPr>
                            <a:xfrm>
                              <a:off x="0" y="153988"/>
                              <a:ext cx="4329113" cy="4337050"/>
                            </a:xfrm>
                            <a:custGeom>
                              <a:avLst/>
                              <a:gdLst/>
                              <a:ahLst/>
                              <a:cxnLst/>
                              <a:rect l="l" t="t" r="r" b="b"/>
                              <a:pathLst>
                                <a:path w="2727" h="2732" extrusionOk="0">
                                  <a:moveTo>
                                    <a:pt x="0" y="2732"/>
                                  </a:moveTo>
                                  <a:lnTo>
                                    <a:pt x="0" y="2728"/>
                                  </a:lnTo>
                                  <a:lnTo>
                                    <a:pt x="2722" y="0"/>
                                  </a:lnTo>
                                  <a:lnTo>
                                    <a:pt x="2727" y="5"/>
                                  </a:lnTo>
                                  <a:lnTo>
                                    <a:pt x="0" y="2732"/>
                                  </a:lnTo>
                                  <a:close/>
                                </a:path>
                              </a:pathLst>
                            </a:custGeom>
                            <a:solidFill>
                              <a:srgbClr val="8296B0"/>
                            </a:solidFill>
                            <a:ln>
                              <a:noFill/>
                            </a:ln>
                          </wps:spPr>
                          <wps:bodyPr spcFirstLastPara="1" wrap="square" lIns="91425" tIns="91425" rIns="91425" bIns="91425" anchor="ctr" anchorCtr="0">
                            <a:noAutofit/>
                          </wps:bodyPr>
                        </wps:wsp>
                      </wpg:grpSp>
                    </wpg:wgp>
                  </a:graphicData>
                </a:graphic>
              </wp:anchor>
            </w:drawing>
          </mc:Choice>
          <mc:Fallback>
            <w:pict>
              <v:group w14:anchorId="54787728" id="Group 218" o:spid="_x0000_s1026" style="position:absolute;margin-left:134.6pt;margin-top:237.6pt;width:432.65pt;height:448.55pt;z-index:-251658240;mso-wrap-distance-left:0;mso-wrap-distance-right:0;mso-position-horizontal-relative:page;mso-position-vertical-relative:page" coordorigin="25988,9316" coordsize="54944,56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">
                <v:group id="Group 1" o:spid="_x0000_s1027" style="position:absolute;left:25988;top:9316;width:54943;height:56967"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43291;height:44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96127F9" w14:textId="77777777" w:rsidR="009419EB" w:rsidRDefault="009419EB">
                          <w:pPr>
                            <w:spacing w:after="0" w:line="240" w:lineRule="auto"/>
                            <w:textDirection w:val="btLr"/>
                          </w:pPr>
                        </w:p>
                      </w:txbxContent>
                    </v:textbox>
                  </v:rect>
                  <v:shape id="Freeform: Shape 3" o:spid="_x0000_s1029" style="position:absolute;left:15017;width:28274;height:28352;visibility:visible;mso-wrap-style:square;v-text-anchor:middle"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" path="m4,1786l,1782,1776,r5,5l4,1786xe" fillcolor="#8296b0" stroked="f">
                    <v:path arrowok="t" o:extrusionok="f"/>
                  </v:shape>
                  <v:shape id="Freeform: Shape 4" o:spid="_x0000_s1030" style="position:absolute;left:7826;top:2270;width:35465;height:35464;visibility:visible;mso-wrap-style:square;v-text-anchor:middle"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" path="m5,2234l,2229,2229,r5,5l5,2234xe" fillcolor="#8296b0" stroked="f">
                    <v:path arrowok="t" o:extrusionok="f"/>
                  </v:shape>
                  <v:shape id="Freeform: Shape 5" o:spid="_x0000_s1031" style="position:absolute;left:8413;top:1095;width:34878;height:34877;visibility:visible;mso-wrap-style:square;v-text-anchor:middle"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" path="m9,2197l,2193,2188,r9,10l9,2197xe" fillcolor="#8296b0" stroked="f">
                    <v:path arrowok="t" o:extrusionok="f"/>
                  </v:shape>
                  <v:shape id="Freeform: Shape 6" o:spid="_x0000_s1032" style="position:absolute;left:12160;top:4984;width:31131;height:31211;visibility:visible;mso-wrap-style:square;v-text-anchor:middle"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" path="m9,1966l,1957,1952,r9,9l9,1966xe" fillcolor="#8296b0" stroked="f">
                    <v:path arrowok="t" o:extrusionok="f"/>
                  </v:shape>
                  <v:shape id="Freeform: Shape 7" o:spid="_x0000_s1033" style="position:absolute;top:1539;width:43291;height:43371;visibility:visible;mso-wrap-style:square;v-text-anchor:middle"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" path="m,2732r,-4l2722,r5,5l,2732xe" fillcolor="#8296b0" stroked="f">
                    <v:path arrowok="t" o:extrusionok="f"/>
                  </v:shape>
                </v:group>
                <w10:wrap anchorx="page" anchory="page"/>
              </v:group>
            </w:pict>
          </mc:Fallback>
        </mc:AlternateContent>
      </w:r>
    </w:p>
    <w:p w14:paraId="5EA88CDE" w14:textId="77777777" w:rsidR="009419EB" w:rsidRDefault="009419EB">
      <w:pPr>
        <w:tabs>
          <w:tab w:val="center" w:pos="4680"/>
        </w:tabs>
        <w:jc w:val="center"/>
        <w:rPr>
          <w:color w:val="FFFFFF"/>
          <w:sz w:val="24"/>
          <w:szCs w:val="24"/>
        </w:rPr>
      </w:pPr>
    </w:p>
    <w:p w14:paraId="03310402" w14:textId="77777777" w:rsidR="009419EB" w:rsidRDefault="00000000">
      <w:pPr>
        <w:tabs>
          <w:tab w:val="center" w:pos="4680"/>
        </w:tabs>
        <w:rPr>
          <w:color w:val="FFFFFF"/>
          <w:sz w:val="24"/>
          <w:szCs w:val="24"/>
        </w:rPr>
      </w:pPr>
      <w:r>
        <w:br w:type="page"/>
      </w:r>
      <w:r>
        <w:rPr>
          <w:noProof/>
        </w:rPr>
        <mc:AlternateContent>
          <mc:Choice Requires="wps">
            <w:drawing>
              <wp:anchor distT="45720" distB="45720" distL="114300" distR="114300" simplePos="0" relativeHeight="251659264" behindDoc="0" locked="0" layoutInCell="1" hidden="0" allowOverlap="1" wp14:anchorId="4C312A1E" wp14:editId="1529A30F">
                <wp:simplePos x="0" y="0"/>
                <wp:positionH relativeFrom="column">
                  <wp:posOffset>660400</wp:posOffset>
                </wp:positionH>
                <wp:positionV relativeFrom="paragraph">
                  <wp:posOffset>1252220</wp:posOffset>
                </wp:positionV>
                <wp:extent cx="4619625" cy="2867025"/>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3040950" y="2351250"/>
                          <a:ext cx="4610100" cy="2857500"/>
                        </a:xfrm>
                        <a:prstGeom prst="rect">
                          <a:avLst/>
                        </a:prstGeom>
                        <a:noFill/>
                        <a:ln>
                          <a:noFill/>
                        </a:ln>
                      </wps:spPr>
                      <wps:txbx>
                        <w:txbxContent>
                          <w:p w14:paraId="14BEAFCD" w14:textId="77777777" w:rsidR="009419EB" w:rsidRDefault="00000000">
                            <w:pPr>
                              <w:spacing w:after="0" w:line="360" w:lineRule="auto"/>
                              <w:jc w:val="center"/>
                              <w:textDirection w:val="btLr"/>
                            </w:pPr>
                            <w:r>
                              <w:rPr>
                                <w:rFonts w:ascii="Times New Roman" w:eastAsia="Times New Roman" w:hAnsi="Times New Roman" w:cs="Times New Roman"/>
                                <w:b/>
                                <w:color w:val="000000"/>
                                <w:sz w:val="24"/>
                              </w:rPr>
                              <w:t xml:space="preserve">Grenada Vertical Farming Micro Proposal </w:t>
                            </w:r>
                          </w:p>
                          <w:p w14:paraId="726B0FF4" w14:textId="77777777" w:rsidR="009419EB" w:rsidRDefault="00000000">
                            <w:pPr>
                              <w:spacing w:after="0" w:line="360" w:lineRule="auto"/>
                              <w:jc w:val="center"/>
                              <w:textDirection w:val="btLr"/>
                            </w:pPr>
                            <w:r>
                              <w:rPr>
                                <w:rFonts w:ascii="Times New Roman" w:eastAsia="Times New Roman" w:hAnsi="Times New Roman" w:cs="Times New Roman"/>
                                <w:color w:val="000000"/>
                                <w:sz w:val="24"/>
                              </w:rPr>
                              <w:t>J. H. Compton</w:t>
                            </w:r>
                          </w:p>
                          <w:p w14:paraId="10500498" w14:textId="77777777" w:rsidR="009419EB" w:rsidRDefault="009419EB">
                            <w:pPr>
                              <w:spacing w:after="0" w:line="360" w:lineRule="auto"/>
                              <w:jc w:val="center"/>
                              <w:textDirection w:val="btLr"/>
                            </w:pPr>
                          </w:p>
                          <w:p w14:paraId="68CD05EC" w14:textId="77777777" w:rsidR="009419EB" w:rsidRDefault="00000000">
                            <w:pPr>
                              <w:spacing w:after="0" w:line="360" w:lineRule="auto"/>
                              <w:jc w:val="center"/>
                              <w:textDirection w:val="btLr"/>
                            </w:pPr>
                            <w:r>
                              <w:rPr>
                                <w:rFonts w:ascii="Times New Roman" w:eastAsia="Times New Roman" w:hAnsi="Times New Roman" w:cs="Times New Roman"/>
                                <w:color w:val="000000"/>
                                <w:sz w:val="24"/>
                              </w:rPr>
                              <w:t>Heller School for Social Policy and Management</w:t>
                            </w:r>
                          </w:p>
                          <w:p w14:paraId="1C690C3F" w14:textId="77777777" w:rsidR="009419EB" w:rsidRDefault="00000000">
                            <w:pPr>
                              <w:spacing w:after="0" w:line="360" w:lineRule="auto"/>
                              <w:jc w:val="center"/>
                              <w:textDirection w:val="btLr"/>
                            </w:pPr>
                            <w:r>
                              <w:rPr>
                                <w:rFonts w:ascii="Times New Roman" w:eastAsia="Times New Roman" w:hAnsi="Times New Roman" w:cs="Times New Roman"/>
                                <w:color w:val="000000"/>
                                <w:sz w:val="24"/>
                              </w:rPr>
                              <w:t>Course 279 Planning and Implementation</w:t>
                            </w:r>
                          </w:p>
                          <w:p w14:paraId="05079ABE" w14:textId="77777777" w:rsidR="009419EB" w:rsidRDefault="00000000">
                            <w:pPr>
                              <w:spacing w:after="0" w:line="360" w:lineRule="auto"/>
                              <w:jc w:val="center"/>
                              <w:textDirection w:val="btLr"/>
                            </w:pPr>
                            <w:r>
                              <w:rPr>
                                <w:rFonts w:ascii="Times New Roman" w:eastAsia="Times New Roman" w:hAnsi="Times New Roman" w:cs="Times New Roman"/>
                                <w:color w:val="000000"/>
                                <w:sz w:val="24"/>
                              </w:rPr>
                              <w:t>Dr. Joseph K. Assan</w:t>
                            </w:r>
                          </w:p>
                          <w:p w14:paraId="0FC813F0" w14:textId="77777777" w:rsidR="009419EB" w:rsidRDefault="00000000">
                            <w:pPr>
                              <w:spacing w:line="360" w:lineRule="auto"/>
                              <w:jc w:val="center"/>
                              <w:textDirection w:val="btLr"/>
                            </w:pPr>
                            <w:r>
                              <w:rPr>
                                <w:rFonts w:ascii="Times New Roman" w:eastAsia="Times New Roman" w:hAnsi="Times New Roman" w:cs="Times New Roman"/>
                                <w:color w:val="000000"/>
                                <w:sz w:val="24"/>
                              </w:rPr>
                              <w:t>11.22.2022</w:t>
                            </w:r>
                          </w:p>
                        </w:txbxContent>
                      </wps:txbx>
                      <wps:bodyPr spcFirstLastPara="1" wrap="square" lIns="91425" tIns="45700" rIns="91425" bIns="45700" anchor="t" anchorCtr="0">
                        <a:noAutofit/>
                      </wps:bodyPr>
                    </wps:wsp>
                  </a:graphicData>
                </a:graphic>
              </wp:anchor>
            </w:drawing>
          </mc:Choice>
          <mc:Fallback>
            <w:pict>
              <v:rect w14:anchorId="4C312A1E" id="Rectangle 219" o:spid="_x0000_s1034" style="position:absolute;margin-left:52pt;margin-top:98.6pt;width:363.75pt;height:225.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" filled="f" stroked="f">
                <v:textbox inset="2.53958mm,1.2694mm,2.53958mm,1.2694mm">
                  <w:txbxContent>
                    <w:p w14:paraId="14BEAFCD" w14:textId="77777777" w:rsidR="009419EB" w:rsidRDefault="00000000">
                      <w:pPr>
                        <w:spacing w:after="0" w:line="360" w:lineRule="auto"/>
                        <w:jc w:val="center"/>
                        <w:textDirection w:val="btLr"/>
                      </w:pPr>
                      <w:r>
                        <w:rPr>
                          <w:rFonts w:ascii="Times New Roman" w:eastAsia="Times New Roman" w:hAnsi="Times New Roman" w:cs="Times New Roman"/>
                          <w:b/>
                          <w:color w:val="000000"/>
                          <w:sz w:val="24"/>
                        </w:rPr>
                        <w:t xml:space="preserve">Grenada Vertical Farming Micro Proposal </w:t>
                      </w:r>
                    </w:p>
                    <w:p w14:paraId="726B0FF4" w14:textId="77777777" w:rsidR="009419EB" w:rsidRDefault="00000000">
                      <w:pPr>
                        <w:spacing w:after="0" w:line="360" w:lineRule="auto"/>
                        <w:jc w:val="center"/>
                        <w:textDirection w:val="btLr"/>
                      </w:pPr>
                      <w:r>
                        <w:rPr>
                          <w:rFonts w:ascii="Times New Roman" w:eastAsia="Times New Roman" w:hAnsi="Times New Roman" w:cs="Times New Roman"/>
                          <w:color w:val="000000"/>
                          <w:sz w:val="24"/>
                        </w:rPr>
                        <w:t>J. H. Compton</w:t>
                      </w:r>
                    </w:p>
                    <w:p w14:paraId="10500498" w14:textId="77777777" w:rsidR="009419EB" w:rsidRDefault="009419EB">
                      <w:pPr>
                        <w:spacing w:after="0" w:line="360" w:lineRule="auto"/>
                        <w:jc w:val="center"/>
                        <w:textDirection w:val="btLr"/>
                      </w:pPr>
                    </w:p>
                    <w:p w14:paraId="68CD05EC" w14:textId="77777777" w:rsidR="009419EB" w:rsidRDefault="00000000">
                      <w:pPr>
                        <w:spacing w:after="0" w:line="360" w:lineRule="auto"/>
                        <w:jc w:val="center"/>
                        <w:textDirection w:val="btLr"/>
                      </w:pPr>
                      <w:r>
                        <w:rPr>
                          <w:rFonts w:ascii="Times New Roman" w:eastAsia="Times New Roman" w:hAnsi="Times New Roman" w:cs="Times New Roman"/>
                          <w:color w:val="000000"/>
                          <w:sz w:val="24"/>
                        </w:rPr>
                        <w:t>Heller School for Social Policy and Management</w:t>
                      </w:r>
                    </w:p>
                    <w:p w14:paraId="1C690C3F" w14:textId="77777777" w:rsidR="009419EB" w:rsidRDefault="00000000">
                      <w:pPr>
                        <w:spacing w:after="0" w:line="360" w:lineRule="auto"/>
                        <w:jc w:val="center"/>
                        <w:textDirection w:val="btLr"/>
                      </w:pPr>
                      <w:r>
                        <w:rPr>
                          <w:rFonts w:ascii="Times New Roman" w:eastAsia="Times New Roman" w:hAnsi="Times New Roman" w:cs="Times New Roman"/>
                          <w:color w:val="000000"/>
                          <w:sz w:val="24"/>
                        </w:rPr>
                        <w:t>Course 279 Planning and Implementation</w:t>
                      </w:r>
                    </w:p>
                    <w:p w14:paraId="05079ABE" w14:textId="77777777" w:rsidR="009419EB" w:rsidRDefault="00000000">
                      <w:pPr>
                        <w:spacing w:after="0" w:line="360" w:lineRule="auto"/>
                        <w:jc w:val="center"/>
                        <w:textDirection w:val="btLr"/>
                      </w:pPr>
                      <w:r>
                        <w:rPr>
                          <w:rFonts w:ascii="Times New Roman" w:eastAsia="Times New Roman" w:hAnsi="Times New Roman" w:cs="Times New Roman"/>
                          <w:color w:val="000000"/>
                          <w:sz w:val="24"/>
                        </w:rPr>
                        <w:t>Dr. Joseph K. Assan</w:t>
                      </w:r>
                    </w:p>
                    <w:p w14:paraId="0FC813F0" w14:textId="77777777" w:rsidR="009419EB" w:rsidRDefault="00000000">
                      <w:pPr>
                        <w:spacing w:line="360" w:lineRule="auto"/>
                        <w:jc w:val="center"/>
                        <w:textDirection w:val="btLr"/>
                      </w:pPr>
                      <w:r>
                        <w:rPr>
                          <w:rFonts w:ascii="Times New Roman" w:eastAsia="Times New Roman" w:hAnsi="Times New Roman" w:cs="Times New Roman"/>
                          <w:color w:val="000000"/>
                          <w:sz w:val="24"/>
                        </w:rPr>
                        <w:t>11.22.2022</w:t>
                      </w:r>
                    </w:p>
                  </w:txbxContent>
                </v:textbox>
                <w10:wrap type="square"/>
              </v:rect>
            </w:pict>
          </mc:Fallback>
        </mc:AlternateContent>
      </w:r>
    </w:p>
    <w:p w14:paraId="0A736EA9" w14:textId="019BF07E" w:rsidR="009419EB" w:rsidRDefault="00000000">
      <w:pPr>
        <w:tabs>
          <w:tab w:val="center" w:pos="4680"/>
        </w:tabs>
        <w:rPr>
          <w:color w:val="FFFFFF"/>
          <w:sz w:val="24"/>
          <w:szCs w:val="24"/>
        </w:rPr>
      </w:pPr>
      <w:r>
        <w:rPr>
          <w:rFonts w:ascii="Times New Roman" w:eastAsia="Times New Roman" w:hAnsi="Times New Roman" w:cs="Times New Roman"/>
          <w:b/>
          <w:sz w:val="24"/>
          <w:szCs w:val="24"/>
        </w:rPr>
        <w:lastRenderedPageBreak/>
        <w:t xml:space="preserve">Background: </w:t>
      </w:r>
      <w:r>
        <w:rPr>
          <w:rFonts w:ascii="Times New Roman" w:eastAsia="Times New Roman" w:hAnsi="Times New Roman" w:cs="Times New Roman"/>
          <w:sz w:val="24"/>
          <w:szCs w:val="24"/>
        </w:rPr>
        <w:t xml:space="preserve">St. Mark’s, Grenada, W.I. </w:t>
      </w:r>
      <w:r w:rsidR="00173814">
        <w:rPr>
          <w:rFonts w:ascii="Times New Roman" w:eastAsia="Times New Roman" w:hAnsi="Times New Roman" w:cs="Times New Roman"/>
          <w:sz w:val="24"/>
          <w:szCs w:val="24"/>
        </w:rPr>
        <w:t>exists</w:t>
      </w:r>
      <w:r>
        <w:rPr>
          <w:rFonts w:ascii="Times New Roman" w:eastAsia="Times New Roman" w:hAnsi="Times New Roman" w:cs="Times New Roman"/>
          <w:sz w:val="24"/>
          <w:szCs w:val="24"/>
        </w:rPr>
        <w:t xml:space="preserve"> </w:t>
      </w:r>
      <w:r w:rsidR="00173814">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the most impoverished parish o</w:t>
      </w:r>
      <w:r w:rsidR="00173814">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the island, with a poverty rate of over 50% (Relief Web, 2020). Due to its </w:t>
      </w:r>
      <w:r w:rsidR="001A2F9A">
        <w:rPr>
          <w:rFonts w:ascii="Times New Roman" w:eastAsia="Times New Roman" w:hAnsi="Times New Roman" w:cs="Times New Roman"/>
          <w:sz w:val="24"/>
          <w:szCs w:val="24"/>
        </w:rPr>
        <w:t xml:space="preserve">geographic </w:t>
      </w:r>
      <w:r>
        <w:rPr>
          <w:rFonts w:ascii="Times New Roman" w:eastAsia="Times New Roman" w:hAnsi="Times New Roman" w:cs="Times New Roman"/>
          <w:sz w:val="24"/>
          <w:szCs w:val="24"/>
        </w:rPr>
        <w:t xml:space="preserve">inaccessibility, </w:t>
      </w:r>
      <w:r w:rsidR="001A2F9A">
        <w:rPr>
          <w:rFonts w:ascii="Times New Roman" w:eastAsia="Times New Roman" w:hAnsi="Times New Roman" w:cs="Times New Roman"/>
          <w:sz w:val="24"/>
          <w:szCs w:val="24"/>
        </w:rPr>
        <w:t>minute</w:t>
      </w:r>
      <w:r>
        <w:rPr>
          <w:rFonts w:ascii="Times New Roman" w:eastAsia="Times New Roman" w:hAnsi="Times New Roman" w:cs="Times New Roman"/>
          <w:sz w:val="24"/>
          <w:szCs w:val="24"/>
        </w:rPr>
        <w:t xml:space="preserve"> population</w:t>
      </w:r>
      <w:r w:rsidR="001738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1A2F9A">
        <w:rPr>
          <w:rFonts w:ascii="Times New Roman" w:eastAsia="Times New Roman" w:hAnsi="Times New Roman" w:cs="Times New Roman"/>
          <w:sz w:val="24"/>
          <w:szCs w:val="24"/>
        </w:rPr>
        <w:t xml:space="preserve">small </w:t>
      </w:r>
      <w:r>
        <w:rPr>
          <w:rFonts w:ascii="Times New Roman" w:eastAsia="Times New Roman" w:hAnsi="Times New Roman" w:cs="Times New Roman"/>
          <w:sz w:val="24"/>
          <w:szCs w:val="24"/>
        </w:rPr>
        <w:t xml:space="preserve">land </w:t>
      </w:r>
      <w:r w:rsidR="001A2F9A">
        <w:rPr>
          <w:rFonts w:ascii="Times New Roman" w:eastAsia="Times New Roman" w:hAnsi="Times New Roman" w:cs="Times New Roman"/>
          <w:sz w:val="24"/>
          <w:szCs w:val="24"/>
        </w:rPr>
        <w:t>area</w:t>
      </w:r>
      <w:r>
        <w:rPr>
          <w:rFonts w:ascii="Times New Roman" w:eastAsia="Times New Roman" w:hAnsi="Times New Roman" w:cs="Times New Roman"/>
          <w:sz w:val="24"/>
          <w:szCs w:val="24"/>
        </w:rPr>
        <w:t xml:space="preserve"> (Usry, 2015), St. Mark’s </w:t>
      </w:r>
      <w:r w:rsidR="007C6EF4">
        <w:rPr>
          <w:rFonts w:ascii="Times New Roman" w:eastAsia="Times New Roman" w:hAnsi="Times New Roman" w:cs="Times New Roman"/>
          <w:sz w:val="24"/>
          <w:szCs w:val="24"/>
        </w:rPr>
        <w:t>often is</w:t>
      </w:r>
      <w:r>
        <w:rPr>
          <w:rFonts w:ascii="Times New Roman" w:eastAsia="Times New Roman" w:hAnsi="Times New Roman" w:cs="Times New Roman"/>
          <w:sz w:val="24"/>
          <w:szCs w:val="24"/>
        </w:rPr>
        <w:t xml:space="preserve"> overlooked for agricultural development interventions. However, these metrics are advantageous when piloting country-wide initiatives; the approximately 4,000 population (Usry, 2015) serves as a perfect sample size to determine the effectiveness of innovative and modernized food security and agricultural methodologies. </w:t>
      </w:r>
    </w:p>
    <w:p w14:paraId="5E89B191" w14:textId="576A49F3" w:rsidR="001A2F9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w:t>
      </w:r>
      <w:r w:rsidR="00173814">
        <w:rPr>
          <w:rFonts w:ascii="Times New Roman" w:eastAsia="Times New Roman" w:hAnsi="Times New Roman" w:cs="Times New Roman"/>
          <w:sz w:val="24"/>
          <w:szCs w:val="24"/>
        </w:rPr>
        <w:t>initially</w:t>
      </w:r>
      <w:r>
        <w:rPr>
          <w:rFonts w:ascii="Times New Roman" w:eastAsia="Times New Roman" w:hAnsi="Times New Roman" w:cs="Times New Roman"/>
          <w:sz w:val="24"/>
          <w:szCs w:val="24"/>
        </w:rPr>
        <w:t xml:space="preserve"> a</w:t>
      </w:r>
      <w:r w:rsidR="00173814">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00446C59">
        <w:rPr>
          <w:rFonts w:ascii="Times New Roman" w:eastAsia="Times New Roman" w:hAnsi="Times New Roman" w:cs="Times New Roman"/>
          <w:sz w:val="24"/>
          <w:szCs w:val="24"/>
        </w:rPr>
        <w:t>agricultural</w:t>
      </w:r>
      <w:r>
        <w:rPr>
          <w:rFonts w:ascii="Times New Roman" w:eastAsia="Times New Roman" w:hAnsi="Times New Roman" w:cs="Times New Roman"/>
          <w:sz w:val="24"/>
          <w:szCs w:val="24"/>
        </w:rPr>
        <w:t xml:space="preserve"> economy</w:t>
      </w:r>
      <w:r w:rsidR="001A2F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Grenada shifted after the 1983 U</w:t>
      </w:r>
      <w:r w:rsidR="007C6EF4">
        <w:rPr>
          <w:rFonts w:ascii="Times New Roman" w:eastAsia="Times New Roman" w:hAnsi="Times New Roman" w:cs="Times New Roman"/>
          <w:sz w:val="24"/>
          <w:szCs w:val="24"/>
        </w:rPr>
        <w:t xml:space="preserve">nited </w:t>
      </w:r>
      <w:r>
        <w:rPr>
          <w:rFonts w:ascii="Times New Roman" w:eastAsia="Times New Roman" w:hAnsi="Times New Roman" w:cs="Times New Roman"/>
          <w:sz w:val="24"/>
          <w:szCs w:val="24"/>
        </w:rPr>
        <w:t>S</w:t>
      </w:r>
      <w:r w:rsidR="007C6EF4">
        <w:rPr>
          <w:rFonts w:ascii="Times New Roman" w:eastAsia="Times New Roman" w:hAnsi="Times New Roman" w:cs="Times New Roman"/>
          <w:sz w:val="24"/>
          <w:szCs w:val="24"/>
        </w:rPr>
        <w:t>tates</w:t>
      </w:r>
      <w:r>
        <w:rPr>
          <w:rFonts w:ascii="Times New Roman" w:eastAsia="Times New Roman" w:hAnsi="Times New Roman" w:cs="Times New Roman"/>
          <w:sz w:val="24"/>
          <w:szCs w:val="24"/>
        </w:rPr>
        <w:t xml:space="preserve"> invasion to promoting tourism and other service-based industries (CSIS, 2013). </w:t>
      </w:r>
      <w:r w:rsidR="007C6EF4" w:rsidRPr="007C6EF4">
        <w:rPr>
          <w:rFonts w:ascii="Times New Roman" w:eastAsia="Times New Roman" w:hAnsi="Times New Roman" w:cs="Times New Roman"/>
          <w:sz w:val="24"/>
          <w:szCs w:val="24"/>
        </w:rPr>
        <w:t>To increase economic growth in the agricultural sector during this transition</w:t>
      </w:r>
      <w:r w:rsidR="00BD4BFD">
        <w:rPr>
          <w:rFonts w:ascii="Times New Roman" w:eastAsia="Times New Roman" w:hAnsi="Times New Roman" w:cs="Times New Roman"/>
          <w:sz w:val="24"/>
          <w:szCs w:val="24"/>
        </w:rPr>
        <w:t>,</w:t>
      </w:r>
      <w:r w:rsidR="007C6EF4" w:rsidRPr="007C6EF4">
        <w:rPr>
          <w:rFonts w:ascii="Times New Roman" w:eastAsia="Times New Roman" w:hAnsi="Times New Roman" w:cs="Times New Roman"/>
          <w:sz w:val="24"/>
          <w:szCs w:val="24"/>
        </w:rPr>
        <w:t xml:space="preserve"> niche crops such as nutmeg, cocoa, mace, and bananas were prioritized over food staple crops (Caribbean Agricultural Research &amp; Development Institute, 2019). Food imports then became normative for sustaining Grenada’s population</w:t>
      </w:r>
      <w:r>
        <w:rPr>
          <w:rFonts w:ascii="Times New Roman" w:eastAsia="Times New Roman" w:hAnsi="Times New Roman" w:cs="Times New Roman"/>
          <w:sz w:val="24"/>
          <w:szCs w:val="24"/>
        </w:rPr>
        <w:t>. Exacerbated by the COVID-19 pandemic and Ukraine wheat supply chain shortages, food insecurity within Grenada remains a pressing challenge</w:t>
      </w:r>
      <w:r w:rsidR="00BD4BFD">
        <w:rPr>
          <w:rFonts w:ascii="Times New Roman" w:eastAsia="Times New Roman" w:hAnsi="Times New Roman" w:cs="Times New Roman"/>
          <w:sz w:val="24"/>
          <w:szCs w:val="24"/>
        </w:rPr>
        <w:t>, more so</w:t>
      </w:r>
      <w:r>
        <w:rPr>
          <w:rFonts w:ascii="Times New Roman" w:eastAsia="Times New Roman" w:hAnsi="Times New Roman" w:cs="Times New Roman"/>
          <w:sz w:val="24"/>
          <w:szCs w:val="24"/>
        </w:rPr>
        <w:t xml:space="preserve"> amid forecasted extreme climate events, rising world population, and food price fluctuations.</w:t>
      </w:r>
    </w:p>
    <w:p w14:paraId="1DB6A8CA" w14:textId="15ACE8E9" w:rsidR="009419EB" w:rsidRDefault="00000000">
      <w:pPr>
        <w:tabs>
          <w:tab w:val="left" w:pos="945"/>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Problem Analysis: </w:t>
      </w:r>
      <w:r>
        <w:rPr>
          <w:rFonts w:ascii="Times New Roman" w:eastAsia="Times New Roman" w:hAnsi="Times New Roman" w:cs="Times New Roman"/>
          <w:sz w:val="24"/>
          <w:szCs w:val="24"/>
        </w:rPr>
        <w:t xml:space="preserve">When surveyed </w:t>
      </w:r>
      <w:r w:rsidR="00173814">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August of 2022 by the World Food Programme, 40% of Grenadian respondents identified themselves as food insecure (World Food Programme, 2022), nearly double the 2020 results of the World Bank’s food insecurity indicator (World Bank, 2022). </w:t>
      </w:r>
      <w:r w:rsidR="00B75F42">
        <w:rPr>
          <w:rFonts w:ascii="Times New Roman" w:eastAsia="Times New Roman" w:hAnsi="Times New Roman" w:cs="Times New Roman"/>
          <w:sz w:val="24"/>
          <w:szCs w:val="24"/>
        </w:rPr>
        <w:t>Sixty-eight percent</w:t>
      </w:r>
      <w:r>
        <w:rPr>
          <w:rFonts w:ascii="Times New Roman" w:eastAsia="Times New Roman" w:hAnsi="Times New Roman" w:cs="Times New Roman"/>
          <w:sz w:val="24"/>
          <w:szCs w:val="24"/>
        </w:rPr>
        <w:t xml:space="preserve"> of Grenadian respondents </w:t>
      </w:r>
      <w:r w:rsidR="007C6EF4">
        <w:rPr>
          <w:rFonts w:ascii="Times New Roman" w:eastAsia="Times New Roman" w:hAnsi="Times New Roman" w:cs="Times New Roman"/>
          <w:sz w:val="24"/>
          <w:szCs w:val="24"/>
        </w:rPr>
        <w:t>admit to</w:t>
      </w:r>
      <w:r>
        <w:rPr>
          <w:rFonts w:ascii="Times New Roman" w:eastAsia="Times New Roman" w:hAnsi="Times New Roman" w:cs="Times New Roman"/>
          <w:sz w:val="24"/>
          <w:szCs w:val="24"/>
        </w:rPr>
        <w:t xml:space="preserve"> utilizing savings reserves to meet immediate food needs (World Food Programme, 2022). With over 40% of survey respondents signifying a continual disruption in livelihood and income, 23% a lack of market access, and 30% a reduction in food consumption (World Food Programme, 2022), food insecurity for Grenada must be swiftly addressed before malnutrition and other health issues become </w:t>
      </w:r>
      <w:r w:rsidR="00BD4BFD">
        <w:rPr>
          <w:rFonts w:ascii="Times New Roman" w:eastAsia="Times New Roman" w:hAnsi="Times New Roman" w:cs="Times New Roman"/>
          <w:sz w:val="24"/>
          <w:szCs w:val="24"/>
        </w:rPr>
        <w:t>dominoing</w:t>
      </w:r>
      <w:r>
        <w:rPr>
          <w:rFonts w:ascii="Times New Roman" w:eastAsia="Times New Roman" w:hAnsi="Times New Roman" w:cs="Times New Roman"/>
          <w:sz w:val="24"/>
          <w:szCs w:val="24"/>
        </w:rPr>
        <w:t xml:space="preserve"> crises. </w:t>
      </w:r>
    </w:p>
    <w:p w14:paraId="03760DEE" w14:textId="48CB3115" w:rsidR="009419EB" w:rsidRDefault="00B75F42">
      <w:pPr>
        <w:tabs>
          <w:tab w:val="left" w:pos="945"/>
        </w:tabs>
        <w:rPr>
          <w:rFonts w:ascii="Times New Roman" w:eastAsia="Times New Roman" w:hAnsi="Times New Roman" w:cs="Times New Roman"/>
          <w:sz w:val="24"/>
          <w:szCs w:val="24"/>
        </w:rPr>
      </w:pPr>
      <w:r w:rsidRPr="00B75F42">
        <w:rPr>
          <w:rFonts w:ascii="Times New Roman" w:eastAsia="Times New Roman" w:hAnsi="Times New Roman" w:cs="Times New Roman"/>
          <w:sz w:val="24"/>
          <w:szCs w:val="24"/>
        </w:rPr>
        <w:t>A multitude of Grenadian policies and geographic metrics play into modern food insecurity issues within the island</w:t>
      </w:r>
      <w:r>
        <w:rPr>
          <w:rFonts w:ascii="Times New Roman" w:eastAsia="Times New Roman" w:hAnsi="Times New Roman" w:cs="Times New Roman"/>
          <w:sz w:val="24"/>
          <w:szCs w:val="24"/>
        </w:rPr>
        <w:t xml:space="preserve">. Hurricanes Ivan and Emily in 2004-05 destroyed 90% of infrastructure and crop life (Lewis, 2005), illustrating Grenada’s agricultural vulnerability to extreme climate events. </w:t>
      </w:r>
      <w:r w:rsidRPr="00B75F42">
        <w:rPr>
          <w:rFonts w:ascii="Times New Roman" w:eastAsia="Times New Roman" w:hAnsi="Times New Roman" w:cs="Times New Roman"/>
          <w:sz w:val="24"/>
          <w:szCs w:val="24"/>
        </w:rPr>
        <w:t>Drought amplified by increasing water usage by the tourism industry (UNDESA, 2012, and annually rising surface temperatures, yields may decrease, (USAID, 2021), which will further aggravate the alarming food insecurity trends Grenada is currently witnessing</w:t>
      </w:r>
      <w:r>
        <w:rPr>
          <w:rFonts w:ascii="Times New Roman" w:eastAsia="Times New Roman" w:hAnsi="Times New Roman" w:cs="Times New Roman"/>
          <w:sz w:val="24"/>
          <w:szCs w:val="24"/>
        </w:rPr>
        <w:t xml:space="preserve">. </w:t>
      </w:r>
      <w:r w:rsidRPr="00B75F42">
        <w:rPr>
          <w:rFonts w:ascii="Times New Roman" w:eastAsia="Times New Roman" w:hAnsi="Times New Roman" w:cs="Times New Roman"/>
          <w:sz w:val="24"/>
          <w:szCs w:val="24"/>
        </w:rPr>
        <w:t xml:space="preserve">With approximately 25% of arable land remaining fallow, Grenada has the capacity to revitalize its agriculture sector. However, the profitability of permanent crops </w:t>
      </w:r>
      <w:proofErr w:type="gramStart"/>
      <w:r w:rsidRPr="00B75F42">
        <w:rPr>
          <w:rFonts w:ascii="Times New Roman" w:eastAsia="Times New Roman" w:hAnsi="Times New Roman" w:cs="Times New Roman"/>
          <w:sz w:val="24"/>
          <w:szCs w:val="24"/>
        </w:rPr>
        <w:t>incentivize</w:t>
      </w:r>
      <w:proofErr w:type="gramEnd"/>
      <w:r w:rsidRPr="00B75F42">
        <w:rPr>
          <w:rFonts w:ascii="Times New Roman" w:eastAsia="Times New Roman" w:hAnsi="Times New Roman" w:cs="Times New Roman"/>
          <w:sz w:val="24"/>
          <w:szCs w:val="24"/>
        </w:rPr>
        <w:t xml:space="preserve"> farmers to pursue the export market rather than local food production, and very few young adults are willing to stake their livelihoods in the agricultural sector despite the harsh unemployment rate of the island (National Plan Secretariat, 2019) (James, 2015).</w:t>
      </w:r>
    </w:p>
    <w:p w14:paraId="6301070D" w14:textId="588EECE5" w:rsidR="009419EB" w:rsidRDefault="00000000">
      <w:pPr>
        <w:tabs>
          <w:tab w:val="left" w:pos="945"/>
        </w:tabs>
        <w:rPr>
          <w:rFonts w:ascii="Times New Roman" w:eastAsia="Times New Roman" w:hAnsi="Times New Roman" w:cs="Times New Roman"/>
          <w:sz w:val="24"/>
          <w:szCs w:val="24"/>
        </w:rPr>
      </w:pPr>
      <w:r>
        <w:rPr>
          <w:rFonts w:ascii="Times New Roman" w:eastAsia="Times New Roman" w:hAnsi="Times New Roman" w:cs="Times New Roman"/>
          <w:sz w:val="24"/>
          <w:szCs w:val="24"/>
        </w:rPr>
        <w:t>A reliance o</w:t>
      </w:r>
      <w:r w:rsidR="00173814">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traditional agriculture methods and food imports </w:t>
      </w:r>
      <w:r w:rsidR="00173814">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not sustainable, nor should it be the consumption method of Grenada’s future. Grenada’s primary stakeholders, its citizens, can achieve food security despite the negating factors listed above, through technical agricultural innovations such as the subject of this proposal: indoor vertical farming.</w:t>
      </w:r>
    </w:p>
    <w:p w14:paraId="39786247" w14:textId="77777777" w:rsidR="009419EB" w:rsidRDefault="00000000">
      <w:pPr>
        <w:tabs>
          <w:tab w:val="left" w:pos="945"/>
        </w:tabs>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Vision of Change: </w:t>
      </w:r>
      <w:r>
        <w:rPr>
          <w:rFonts w:ascii="Times New Roman" w:eastAsia="Times New Roman" w:hAnsi="Times New Roman" w:cs="Times New Roman"/>
          <w:sz w:val="24"/>
          <w:szCs w:val="24"/>
        </w:rPr>
        <w:t>Concerns raised by Grenadians via consultations and interviews for Grenada’s Growth Diagnostics Study signify the changes the public wishes to see within the agriculture sector (National Plan Secretariat, 2019).</w:t>
      </w:r>
    </w:p>
    <w:p w14:paraId="5A5F0E7D" w14:textId="77777777" w:rsidR="009419EB" w:rsidRDefault="00000000">
      <w:pPr>
        <w:widowControl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“To attract young people into agriculture, the image of ‘an old man in old clothes’ should be changed through education.”</w:t>
      </w:r>
    </w:p>
    <w:p w14:paraId="0BBBC34E" w14:textId="77777777" w:rsidR="009419EB" w:rsidRDefault="00000000">
      <w:pPr>
        <w:widowControl w:val="0"/>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lacking in applied science and technology...” </w:t>
      </w:r>
    </w:p>
    <w:p w14:paraId="3D403E69" w14:textId="77777777" w:rsidR="009419EB" w:rsidRDefault="00000000">
      <w:pPr>
        <w:widowControl w:val="0"/>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“Our support for agriculture is not based on scientific commercial type agriculture...” </w:t>
      </w:r>
    </w:p>
    <w:p w14:paraId="64A70906" w14:textId="77777777" w:rsidR="009419EB" w:rsidRDefault="00000000">
      <w:pPr>
        <w:widowControl w:val="0"/>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must be greater focus on food security and the production of sustainable foods.” </w:t>
      </w:r>
    </w:p>
    <w:p w14:paraId="771224EF" w14:textId="77777777" w:rsidR="009419EB" w:rsidRDefault="00000000">
      <w:pPr>
        <w:widowControl w:val="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Plan Secretariat, pg. 57, 2019)</w:t>
      </w:r>
    </w:p>
    <w:p w14:paraId="0E1FEB66" w14:textId="4B976336" w:rsidR="009419EB" w:rsidRDefault="00000000">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 Grenadian public recognize</w:t>
      </w:r>
      <w:r w:rsidR="0017381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importance of modernizing the agricultural sector and securing the island’s food supply. While the current National Agriculture Plan focuses on sustainability, economic viability, and resilience, it does </w:t>
      </w:r>
      <w:r w:rsidR="00446C59">
        <w:rPr>
          <w:rFonts w:ascii="Times New Roman" w:eastAsia="Times New Roman" w:hAnsi="Times New Roman" w:cs="Times New Roman"/>
          <w:sz w:val="24"/>
          <w:szCs w:val="24"/>
        </w:rPr>
        <w:t>little</w:t>
      </w:r>
      <w:r>
        <w:rPr>
          <w:rFonts w:ascii="Times New Roman" w:eastAsia="Times New Roman" w:hAnsi="Times New Roman" w:cs="Times New Roman"/>
          <w:sz w:val="24"/>
          <w:szCs w:val="24"/>
        </w:rPr>
        <w:t xml:space="preserve"> to address increasing production for local consumption or youth integration into the agricultural sector (James, 2015).</w:t>
      </w:r>
    </w:p>
    <w:p w14:paraId="79966438" w14:textId="3F3DD2B9" w:rsidR="009419EB"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Development Intervention: </w:t>
      </w:r>
      <w:r w:rsidR="008B01D6" w:rsidRPr="008B01D6">
        <w:rPr>
          <w:rFonts w:ascii="Times New Roman" w:eastAsia="Times New Roman" w:hAnsi="Times New Roman" w:cs="Times New Roman"/>
          <w:sz w:val="24"/>
          <w:szCs w:val="24"/>
        </w:rPr>
        <w:t>To mitigate natural disasters, drought, and temperature increases, indoor vertical farming must be a sizable portion of Grenada’s food security plan</w:t>
      </w:r>
      <w:r>
        <w:rPr>
          <w:rFonts w:ascii="Times New Roman" w:eastAsia="Times New Roman" w:hAnsi="Times New Roman" w:cs="Times New Roman"/>
          <w:sz w:val="24"/>
          <w:szCs w:val="24"/>
        </w:rPr>
        <w:t xml:space="preserve">. However, the costs, energy, and skilled labor necessary for planning and maintaining these farming methods are not feasible in the immediate future. </w:t>
      </w:r>
      <w:r w:rsidR="00DD30CE">
        <w:rPr>
          <w:rFonts w:ascii="Times New Roman" w:eastAsia="Times New Roman" w:hAnsi="Times New Roman" w:cs="Times New Roman"/>
          <w:sz w:val="24"/>
          <w:szCs w:val="24"/>
        </w:rPr>
        <w:t xml:space="preserve">Incentivizing </w:t>
      </w:r>
      <w:r>
        <w:rPr>
          <w:rFonts w:ascii="Times New Roman" w:eastAsia="Times New Roman" w:hAnsi="Times New Roman" w:cs="Times New Roman"/>
          <w:sz w:val="24"/>
          <w:szCs w:val="24"/>
        </w:rPr>
        <w:t xml:space="preserve">the youth population of Grenada to pursue the engineering, </w:t>
      </w:r>
      <w:r w:rsidR="00DD30CE">
        <w:rPr>
          <w:rFonts w:ascii="Times New Roman" w:eastAsia="Times New Roman" w:hAnsi="Times New Roman" w:cs="Times New Roman"/>
          <w:sz w:val="24"/>
          <w:szCs w:val="24"/>
        </w:rPr>
        <w:t>science</w:t>
      </w:r>
      <w:r>
        <w:rPr>
          <w:rFonts w:ascii="Times New Roman" w:eastAsia="Times New Roman" w:hAnsi="Times New Roman" w:cs="Times New Roman"/>
          <w:sz w:val="24"/>
          <w:szCs w:val="24"/>
        </w:rPr>
        <w:t xml:space="preserve">, and agricultural education essential to fulfilling upcoming indoor farming occupations is imperative. For this goal, our primary objectives </w:t>
      </w:r>
      <w:proofErr w:type="gramStart"/>
      <w:r w:rsidR="00173814">
        <w:rPr>
          <w:rFonts w:ascii="Times New Roman" w:eastAsia="Times New Roman" w:hAnsi="Times New Roman" w:cs="Times New Roman"/>
          <w:sz w:val="24"/>
          <w:szCs w:val="24"/>
        </w:rPr>
        <w:t>are</w:t>
      </w:r>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to partner with Green Age Farms</w:t>
      </w:r>
      <w:r w:rsidR="00DD30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Trinidad</w:t>
      </w:r>
      <w:r w:rsidR="001738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based hydroponics </w:t>
      </w:r>
      <w:r w:rsidR="00BD4BFD">
        <w:rPr>
          <w:rFonts w:ascii="Times New Roman" w:eastAsia="Times New Roman" w:hAnsi="Times New Roman" w:cs="Times New Roman"/>
          <w:sz w:val="24"/>
          <w:szCs w:val="24"/>
        </w:rPr>
        <w:t xml:space="preserve">(small-scale vertical farm) </w:t>
      </w:r>
      <w:r>
        <w:rPr>
          <w:rFonts w:ascii="Times New Roman" w:eastAsia="Times New Roman" w:hAnsi="Times New Roman" w:cs="Times New Roman"/>
          <w:sz w:val="24"/>
          <w:szCs w:val="24"/>
        </w:rPr>
        <w:t>supplier (Green Age Farms, 2021)</w:t>
      </w:r>
      <w:r w:rsidR="00DD30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provide annual agricultural and climate science curriculums for </w:t>
      </w:r>
      <w:r w:rsidR="00DD30C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tandards 10-12 to be utilized within St. Mark’s Secondary School over a 5-year project and provide St. Mark’s Secondary School a hydroponics vertical farming unit, and solar panel to be used parallel with the agriculture and climate science curriculums. </w:t>
      </w:r>
    </w:p>
    <w:p w14:paraId="73D0F570" w14:textId="70AACB83" w:rsidR="00876C61" w:rsidRDefault="00000000">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Grenada has already implemented a successful youth</w:t>
      </w:r>
      <w:r w:rsidR="00173814">
        <w:rPr>
          <w:rFonts w:ascii="Times New Roman" w:eastAsia="Times New Roman" w:hAnsi="Times New Roman" w:cs="Times New Roman"/>
          <w:sz w:val="24"/>
          <w:szCs w:val="24"/>
        </w:rPr>
        <w:t>-</w:t>
      </w:r>
      <w:r>
        <w:rPr>
          <w:rFonts w:ascii="Times New Roman" w:eastAsia="Times New Roman" w:hAnsi="Times New Roman" w:cs="Times New Roman"/>
          <w:sz w:val="24"/>
          <w:szCs w:val="24"/>
        </w:rPr>
        <w:t>focused hydroponics initiative in conjunction with Japan-Caribbean Climate Change Partnership (</w:t>
      </w:r>
      <w:proofErr w:type="spellStart"/>
      <w:r>
        <w:rPr>
          <w:rFonts w:ascii="Times New Roman" w:eastAsia="Times New Roman" w:hAnsi="Times New Roman" w:cs="Times New Roman"/>
          <w:sz w:val="24"/>
          <w:szCs w:val="24"/>
        </w:rPr>
        <w:t>Caprile</w:t>
      </w:r>
      <w:proofErr w:type="spellEnd"/>
      <w:r>
        <w:rPr>
          <w:rFonts w:ascii="Times New Roman" w:eastAsia="Times New Roman" w:hAnsi="Times New Roman" w:cs="Times New Roman"/>
          <w:sz w:val="24"/>
          <w:szCs w:val="24"/>
        </w:rPr>
        <w:t>, 2017), however</w:t>
      </w:r>
      <w:r w:rsidR="001738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initiative focused solely on upskilling at-risk youth (</w:t>
      </w:r>
      <w:proofErr w:type="spellStart"/>
      <w:r>
        <w:rPr>
          <w:rFonts w:ascii="Times New Roman" w:eastAsia="Times New Roman" w:hAnsi="Times New Roman" w:cs="Times New Roman"/>
          <w:sz w:val="24"/>
          <w:szCs w:val="24"/>
        </w:rPr>
        <w:t>Caprile</w:t>
      </w:r>
      <w:proofErr w:type="spellEnd"/>
      <w:r>
        <w:rPr>
          <w:rFonts w:ascii="Times New Roman" w:eastAsia="Times New Roman" w:hAnsi="Times New Roman" w:cs="Times New Roman"/>
          <w:sz w:val="24"/>
          <w:szCs w:val="24"/>
        </w:rPr>
        <w:t xml:space="preserve">, 2017). If the curriculum created by this project proves to be comprehensive and effective in encouraging St. Mark young adults to consider completing tertiary education in engineering, climate, or agricultural science, Phase II will consist of integration into every public parish school across the island. </w:t>
      </w:r>
      <w:r w:rsidR="008B01D6" w:rsidRPr="008B01D6">
        <w:rPr>
          <w:rFonts w:ascii="Times New Roman" w:eastAsia="Times New Roman" w:hAnsi="Times New Roman" w:cs="Times New Roman"/>
          <w:sz w:val="24"/>
          <w:szCs w:val="24"/>
        </w:rPr>
        <w:t>Similar programs exist within secondary schools in developing nations such as Indonesia’s Sint Carolus Junior High School, where concluding results revealed positive outcomes in the agriculture education, comprehension, and skill sets of participants (</w:t>
      </w:r>
      <w:proofErr w:type="spellStart"/>
      <w:r w:rsidR="008B01D6" w:rsidRPr="008B01D6">
        <w:rPr>
          <w:rFonts w:ascii="Times New Roman" w:eastAsia="Times New Roman" w:hAnsi="Times New Roman" w:cs="Times New Roman"/>
          <w:sz w:val="24"/>
          <w:szCs w:val="24"/>
        </w:rPr>
        <w:t>Ekaputri</w:t>
      </w:r>
      <w:proofErr w:type="spellEnd"/>
      <w:r w:rsidR="008B01D6" w:rsidRPr="008B01D6">
        <w:rPr>
          <w:rFonts w:ascii="Times New Roman" w:eastAsia="Times New Roman" w:hAnsi="Times New Roman" w:cs="Times New Roman"/>
          <w:sz w:val="24"/>
          <w:szCs w:val="24"/>
        </w:rPr>
        <w:t xml:space="preserve"> et. al, 2021).</w:t>
      </w:r>
    </w:p>
    <w:p w14:paraId="198FB314" w14:textId="29546FEA" w:rsidR="00406FC9" w:rsidRDefault="00406FC9">
      <w:pPr>
        <w:widowControl w:val="0"/>
        <w:spacing w:before="240"/>
        <w:rPr>
          <w:rFonts w:ascii="Times New Roman" w:eastAsia="Times New Roman" w:hAnsi="Times New Roman" w:cs="Times New Roman"/>
          <w:sz w:val="24"/>
          <w:szCs w:val="24"/>
        </w:rPr>
        <w:sectPr w:rsidR="00406FC9">
          <w:pgSz w:w="12240" w:h="15840"/>
          <w:pgMar w:top="1440" w:right="1440" w:bottom="1440" w:left="1440" w:header="720" w:footer="720" w:gutter="0"/>
          <w:pgNumType w:start="0"/>
          <w:cols w:space="720"/>
          <w:titlePg/>
        </w:sectPr>
      </w:pPr>
      <w:r>
        <w:rPr>
          <w:rFonts w:ascii="Times New Roman" w:eastAsia="Times New Roman" w:hAnsi="Times New Roman" w:cs="Times New Roman"/>
          <w:sz w:val="24"/>
          <w:szCs w:val="24"/>
        </w:rPr>
        <w:t>The primary stakeholders for this project are the secondary students at St. Mark’s Secondary school, attending Standards 10-12. Student</w:t>
      </w:r>
      <w:r w:rsidR="001738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selected leadership from each grade will serve as focus group members, and key stakeholders throughout the entire initial planning and implementation process, from deciding the inaugural curriculum to </w:t>
      </w:r>
      <w:r w:rsidR="0017381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division of harvest, to </w:t>
      </w:r>
      <w:r w:rsidR="00446C59">
        <w:rPr>
          <w:rFonts w:ascii="Times New Roman" w:eastAsia="Times New Roman" w:hAnsi="Times New Roman" w:cs="Times New Roman"/>
          <w:sz w:val="24"/>
          <w:szCs w:val="24"/>
        </w:rPr>
        <w:t>whether</w:t>
      </w:r>
      <w:r>
        <w:rPr>
          <w:rFonts w:ascii="Times New Roman" w:eastAsia="Times New Roman" w:hAnsi="Times New Roman" w:cs="Times New Roman"/>
          <w:sz w:val="24"/>
          <w:szCs w:val="24"/>
        </w:rPr>
        <w:t xml:space="preserve"> the harvest is sold or donated to the local community. This project posits by giving students buy-in on the micro level is enough incentive to encourage them to view Grenada’s burgeoning agriculture innovations at the macro level </w:t>
      </w:r>
      <w:r w:rsidR="00173814">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 xml:space="preserve">a viable career endeavor. </w:t>
      </w:r>
    </w:p>
    <w:tbl>
      <w:tblPr>
        <w:tblStyle w:val="a"/>
        <w:tblpPr w:leftFromText="180" w:rightFromText="180" w:vertAnchor="text" w:horzAnchor="margin" w:tblpXSpec="center" w:tblpY="-494"/>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5"/>
        <w:gridCol w:w="4230"/>
        <w:gridCol w:w="2145"/>
        <w:gridCol w:w="3135"/>
      </w:tblGrid>
      <w:tr w:rsidR="00876C61" w14:paraId="6CF9D8D2" w14:textId="77777777" w:rsidTr="00876C61">
        <w:tc>
          <w:tcPr>
            <w:tcW w:w="14485" w:type="dxa"/>
            <w:gridSpan w:val="4"/>
            <w:shd w:val="clear" w:color="auto" w:fill="A6A6A6"/>
          </w:tcPr>
          <w:p w14:paraId="36621CDB" w14:textId="77777777" w:rsidR="00876C61" w:rsidRDefault="00876C61" w:rsidP="00876C6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Logical Framework</w:t>
            </w:r>
          </w:p>
        </w:tc>
      </w:tr>
      <w:tr w:rsidR="00876C61" w14:paraId="6B0E8DDB" w14:textId="77777777" w:rsidTr="00876C61">
        <w:tc>
          <w:tcPr>
            <w:tcW w:w="4975" w:type="dxa"/>
            <w:shd w:val="clear" w:color="auto" w:fill="BFBFBF"/>
          </w:tcPr>
          <w:p w14:paraId="47FFD345" w14:textId="77777777" w:rsidR="00876C61" w:rsidRDefault="00876C61" w:rsidP="00876C6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Project Summary</w:t>
            </w:r>
          </w:p>
        </w:tc>
        <w:tc>
          <w:tcPr>
            <w:tcW w:w="4230" w:type="dxa"/>
            <w:shd w:val="clear" w:color="auto" w:fill="BFBFBF"/>
          </w:tcPr>
          <w:p w14:paraId="3C58D5F5" w14:textId="77777777" w:rsidR="00876C61" w:rsidRDefault="00876C61" w:rsidP="00876C6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Measurable Indicators</w:t>
            </w:r>
          </w:p>
        </w:tc>
        <w:tc>
          <w:tcPr>
            <w:tcW w:w="2145" w:type="dxa"/>
            <w:shd w:val="clear" w:color="auto" w:fill="BFBFBF"/>
          </w:tcPr>
          <w:p w14:paraId="3714F451" w14:textId="77777777" w:rsidR="00876C61" w:rsidRDefault="00876C61" w:rsidP="00876C6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Means of Verification</w:t>
            </w:r>
          </w:p>
        </w:tc>
        <w:tc>
          <w:tcPr>
            <w:tcW w:w="3135" w:type="dxa"/>
            <w:shd w:val="clear" w:color="auto" w:fill="BFBFBF"/>
          </w:tcPr>
          <w:p w14:paraId="39ED98E0" w14:textId="77777777" w:rsidR="00876C61" w:rsidRDefault="00876C61" w:rsidP="00876C6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Important Risk Assumptions</w:t>
            </w:r>
          </w:p>
        </w:tc>
      </w:tr>
      <w:tr w:rsidR="00876C61" w14:paraId="47776B4B" w14:textId="77777777" w:rsidTr="00876C61">
        <w:tc>
          <w:tcPr>
            <w:tcW w:w="14485" w:type="dxa"/>
            <w:gridSpan w:val="4"/>
            <w:shd w:val="clear" w:color="auto" w:fill="D9D9D9"/>
          </w:tcPr>
          <w:p w14:paraId="28650B83"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Goal: </w:t>
            </w:r>
          </w:p>
        </w:tc>
      </w:tr>
      <w:tr w:rsidR="00876C61" w14:paraId="586C4071" w14:textId="77777777" w:rsidTr="00876C61">
        <w:tc>
          <w:tcPr>
            <w:tcW w:w="4975" w:type="dxa"/>
          </w:tcPr>
          <w:p w14:paraId="4B5BF9C2"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Reduce food insecurity in Grenada by 75% of 2020 levels (&lt;5.125%) (World Bank, 2022) by 2050 by prioritizing and modernizing local food production through indoor vertical farming and other climate independent technologies.</w:t>
            </w:r>
          </w:p>
        </w:tc>
        <w:tc>
          <w:tcPr>
            <w:tcW w:w="4230" w:type="dxa"/>
          </w:tcPr>
          <w:p w14:paraId="22895554"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*Food staples imports decrease by &lt;50% of 2021 levels ($53,000,000 USD) (World Food Programme, 2022) by 2050</w:t>
            </w:r>
          </w:p>
          <w:p w14:paraId="099B46CB"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*Vertical farm(s) with capacity to produce 30,000 tons of food annually is operational by 2050   </w:t>
            </w:r>
          </w:p>
        </w:tc>
        <w:tc>
          <w:tcPr>
            <w:tcW w:w="2145" w:type="dxa"/>
          </w:tcPr>
          <w:p w14:paraId="24F793F8"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*World Development *Indicator score</w:t>
            </w:r>
          </w:p>
          <w:p w14:paraId="48F449BD"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*Government statistics</w:t>
            </w:r>
          </w:p>
          <w:p w14:paraId="5EBDBDC9"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*WFP/FAO statistics</w:t>
            </w:r>
          </w:p>
        </w:tc>
        <w:tc>
          <w:tcPr>
            <w:tcW w:w="3135" w:type="dxa"/>
          </w:tcPr>
          <w:p w14:paraId="3026B7F7"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*Mitigating extreme climate events may supersede this goal when it comes to budget distributions. </w:t>
            </w:r>
          </w:p>
        </w:tc>
      </w:tr>
      <w:tr w:rsidR="00876C61" w14:paraId="7AA6B0B6" w14:textId="77777777" w:rsidTr="00876C61">
        <w:tc>
          <w:tcPr>
            <w:tcW w:w="14485" w:type="dxa"/>
            <w:gridSpan w:val="4"/>
            <w:shd w:val="clear" w:color="auto" w:fill="D9D9D9"/>
          </w:tcPr>
          <w:p w14:paraId="4BF1145A"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Objective: </w:t>
            </w:r>
          </w:p>
        </w:tc>
      </w:tr>
      <w:tr w:rsidR="00876C61" w14:paraId="56172BF4" w14:textId="77777777" w:rsidTr="00876C61">
        <w:tc>
          <w:tcPr>
            <w:tcW w:w="4975" w:type="dxa"/>
          </w:tcPr>
          <w:p w14:paraId="67D62529" w14:textId="77777777" w:rsidR="00876C61" w:rsidRDefault="00876C61" w:rsidP="00876C61">
            <w:pPr>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 xml:space="preserve">Partner with Green Age Farms to provide an agricultural and climate science curriculum to be utilized within St. Mark’s Secondary School over a 5-year project time frame. </w:t>
            </w:r>
          </w:p>
        </w:tc>
        <w:tc>
          <w:tcPr>
            <w:tcW w:w="4230" w:type="dxa"/>
          </w:tcPr>
          <w:p w14:paraId="1D5C773B"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*One completed agricultural science semester curriculum</w:t>
            </w:r>
          </w:p>
          <w:p w14:paraId="7F56C408"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*One completed climate science curriculum</w:t>
            </w:r>
          </w:p>
        </w:tc>
        <w:tc>
          <w:tcPr>
            <w:tcW w:w="2145" w:type="dxa"/>
          </w:tcPr>
          <w:p w14:paraId="3EAB708D"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*Curriculums</w:t>
            </w:r>
          </w:p>
        </w:tc>
        <w:tc>
          <w:tcPr>
            <w:tcW w:w="3135" w:type="dxa"/>
          </w:tcPr>
          <w:p w14:paraId="52099E9F"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 Coordination efforts make take time between key stakeholders.</w:t>
            </w:r>
          </w:p>
        </w:tc>
      </w:tr>
      <w:tr w:rsidR="00876C61" w14:paraId="7C5B047B" w14:textId="77777777" w:rsidTr="00876C61">
        <w:tc>
          <w:tcPr>
            <w:tcW w:w="4975" w:type="dxa"/>
          </w:tcPr>
          <w:p w14:paraId="51FE0296"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Provide St. Mark’s Secondary School a hydroponics unit/lighting via Green Age Farms, and solar panel to be used parallel with curriculum over 5-year time frame.</w:t>
            </w:r>
          </w:p>
        </w:tc>
        <w:tc>
          <w:tcPr>
            <w:tcW w:w="4230" w:type="dxa"/>
          </w:tcPr>
          <w:p w14:paraId="18B61142"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*At minimum one working hydroponics unit with lighting and solar panel installed in St. Mark’s secondary school</w:t>
            </w:r>
          </w:p>
        </w:tc>
        <w:tc>
          <w:tcPr>
            <w:tcW w:w="2145" w:type="dxa"/>
          </w:tcPr>
          <w:p w14:paraId="1BC0BF82"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*Invoices</w:t>
            </w:r>
          </w:p>
          <w:p w14:paraId="4C7FB059"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*Visual verification from secondary school</w:t>
            </w:r>
          </w:p>
        </w:tc>
        <w:tc>
          <w:tcPr>
            <w:tcW w:w="3135" w:type="dxa"/>
          </w:tcPr>
          <w:p w14:paraId="599D232B" w14:textId="2550A9EB"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solar panel fails, energy consumption of </w:t>
            </w:r>
            <w:r w:rsidR="00173814">
              <w:rPr>
                <w:rFonts w:ascii="Times New Roman" w:eastAsia="Times New Roman" w:hAnsi="Times New Roman" w:cs="Times New Roman"/>
                <w:sz w:val="20"/>
                <w:szCs w:val="20"/>
              </w:rPr>
              <w:t xml:space="preserve">hydroponic </w:t>
            </w:r>
            <w:r>
              <w:rPr>
                <w:rFonts w:ascii="Times New Roman" w:eastAsia="Times New Roman" w:hAnsi="Times New Roman" w:cs="Times New Roman"/>
                <w:sz w:val="20"/>
                <w:szCs w:val="20"/>
              </w:rPr>
              <w:t>unit will prove costly to the school.</w:t>
            </w:r>
          </w:p>
        </w:tc>
      </w:tr>
      <w:tr w:rsidR="00876C61" w14:paraId="6F91C4A4" w14:textId="77777777" w:rsidTr="00876C61">
        <w:tc>
          <w:tcPr>
            <w:tcW w:w="14485" w:type="dxa"/>
            <w:gridSpan w:val="4"/>
            <w:shd w:val="clear" w:color="auto" w:fill="D9D9D9"/>
          </w:tcPr>
          <w:p w14:paraId="4AC7D70C"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b/>
                <w:sz w:val="20"/>
                <w:szCs w:val="20"/>
              </w:rPr>
              <w:t>Outputs:</w:t>
            </w:r>
          </w:p>
        </w:tc>
      </w:tr>
      <w:tr w:rsidR="00876C61" w14:paraId="773D0AA7" w14:textId="77777777" w:rsidTr="00876C61">
        <w:tc>
          <w:tcPr>
            <w:tcW w:w="4975" w:type="dxa"/>
          </w:tcPr>
          <w:p w14:paraId="4631CD40" w14:textId="680CCBC5"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Agricultural and climate science course</w:t>
            </w:r>
            <w:r w:rsidR="00173814">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integrated into St. Mark’s secondary curriculum as mandatory for graduation.</w:t>
            </w:r>
          </w:p>
        </w:tc>
        <w:tc>
          <w:tcPr>
            <w:tcW w:w="4230" w:type="dxa"/>
          </w:tcPr>
          <w:p w14:paraId="7F9BEBE2"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comprehend basic agricultural science </w:t>
            </w:r>
          </w:p>
        </w:tc>
        <w:tc>
          <w:tcPr>
            <w:tcW w:w="2145" w:type="dxa"/>
          </w:tcPr>
          <w:p w14:paraId="1BB542ED"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*Curriculum test scores</w:t>
            </w:r>
          </w:p>
        </w:tc>
        <w:tc>
          <w:tcPr>
            <w:tcW w:w="3135" w:type="dxa"/>
          </w:tcPr>
          <w:p w14:paraId="13D54176"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*Hiring a consultant to teach these courses may be more effective.</w:t>
            </w:r>
          </w:p>
        </w:tc>
      </w:tr>
      <w:tr w:rsidR="00876C61" w14:paraId="180D2A71" w14:textId="77777777" w:rsidTr="00876C61">
        <w:tc>
          <w:tcPr>
            <w:tcW w:w="4975" w:type="dxa"/>
          </w:tcPr>
          <w:p w14:paraId="7BCEB11C" w14:textId="694602C7" w:rsidR="00876C61" w:rsidRDefault="00173814"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H</w:t>
            </w:r>
            <w:r w:rsidR="00876C61">
              <w:rPr>
                <w:rFonts w:ascii="Times New Roman" w:eastAsia="Times New Roman" w:hAnsi="Times New Roman" w:cs="Times New Roman"/>
                <w:sz w:val="20"/>
                <w:szCs w:val="20"/>
              </w:rPr>
              <w:t xml:space="preserve">ydroponics system is functional and provides vegetation </w:t>
            </w:r>
            <w:r>
              <w:rPr>
                <w:rFonts w:ascii="Times New Roman" w:eastAsia="Times New Roman" w:hAnsi="Times New Roman" w:cs="Times New Roman"/>
                <w:sz w:val="20"/>
                <w:szCs w:val="20"/>
              </w:rPr>
              <w:t>consistently</w:t>
            </w:r>
            <w:r w:rsidR="00876C61">
              <w:rPr>
                <w:rFonts w:ascii="Times New Roman" w:eastAsia="Times New Roman" w:hAnsi="Times New Roman" w:cs="Times New Roman"/>
                <w:sz w:val="20"/>
                <w:szCs w:val="20"/>
              </w:rPr>
              <w:t xml:space="preserve"> for student distribution.</w:t>
            </w:r>
          </w:p>
        </w:tc>
        <w:tc>
          <w:tcPr>
            <w:tcW w:w="4230" w:type="dxa"/>
          </w:tcPr>
          <w:p w14:paraId="436D7688" w14:textId="67D20AB4"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*Multiple harvests of student</w:t>
            </w:r>
            <w:r w:rsidR="00173814">
              <w:rPr>
                <w:rFonts w:ascii="Times New Roman" w:eastAsia="Times New Roman" w:hAnsi="Times New Roman" w:cs="Times New Roman"/>
                <w:sz w:val="20"/>
                <w:szCs w:val="20"/>
              </w:rPr>
              <w:t>-</w:t>
            </w:r>
            <w:r>
              <w:rPr>
                <w:rFonts w:ascii="Times New Roman" w:eastAsia="Times New Roman" w:hAnsi="Times New Roman" w:cs="Times New Roman"/>
                <w:sz w:val="20"/>
                <w:szCs w:val="20"/>
              </w:rPr>
              <w:t>grown vegetation</w:t>
            </w:r>
          </w:p>
        </w:tc>
        <w:tc>
          <w:tcPr>
            <w:tcW w:w="2145" w:type="dxa"/>
          </w:tcPr>
          <w:p w14:paraId="596926E2"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*Harvest records</w:t>
            </w:r>
          </w:p>
        </w:tc>
        <w:tc>
          <w:tcPr>
            <w:tcW w:w="3135" w:type="dxa"/>
          </w:tcPr>
          <w:p w14:paraId="32058006"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*Harvest failure may disengage students if not properly monitored.</w:t>
            </w:r>
          </w:p>
        </w:tc>
      </w:tr>
      <w:tr w:rsidR="00876C61" w14:paraId="4E03614A" w14:textId="77777777" w:rsidTr="00876C61">
        <w:tc>
          <w:tcPr>
            <w:tcW w:w="14485" w:type="dxa"/>
            <w:gridSpan w:val="4"/>
            <w:shd w:val="clear" w:color="auto" w:fill="D9D9D9"/>
          </w:tcPr>
          <w:p w14:paraId="4C21F6BC" w14:textId="77777777" w:rsidR="00876C61" w:rsidRDefault="00876C61" w:rsidP="00876C6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r>
      <w:tr w:rsidR="00876C61" w14:paraId="12716D07" w14:textId="77777777" w:rsidTr="00876C61">
        <w:tc>
          <w:tcPr>
            <w:tcW w:w="4975" w:type="dxa"/>
          </w:tcPr>
          <w:p w14:paraId="72B8294C"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Focus group with students, teachers, Green Age Farms consultants, Ministry of Agriculture, local climate scientists, local biologists, and local engineers (key stakeholders) to discuss food security for Grenada, extreme climate change impacts, farming innovations, and skilled labor gaps.</w:t>
            </w:r>
          </w:p>
        </w:tc>
        <w:tc>
          <w:tcPr>
            <w:tcW w:w="4230" w:type="dxa"/>
          </w:tcPr>
          <w:p w14:paraId="1E154B83" w14:textId="3DE5884D"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*Curriculum topics defined and agreed upon by key stakeholders, and shared via</w:t>
            </w:r>
          </w:p>
          <w:p w14:paraId="31FEA0A8"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documentation with stakeholders</w:t>
            </w:r>
          </w:p>
        </w:tc>
        <w:tc>
          <w:tcPr>
            <w:tcW w:w="2145" w:type="dxa"/>
          </w:tcPr>
          <w:p w14:paraId="10660C20"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*Attendance logs</w:t>
            </w:r>
          </w:p>
          <w:p w14:paraId="35EBD8DB"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*Surveys</w:t>
            </w:r>
          </w:p>
          <w:p w14:paraId="33EB09FF"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*Meeting notes</w:t>
            </w:r>
          </w:p>
        </w:tc>
        <w:tc>
          <w:tcPr>
            <w:tcW w:w="3135" w:type="dxa"/>
          </w:tcPr>
          <w:p w14:paraId="5AEB5D91"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 Coordination efforts make take time between key stakeholders.</w:t>
            </w:r>
          </w:p>
        </w:tc>
      </w:tr>
      <w:tr w:rsidR="00876C61" w14:paraId="70C8482F" w14:textId="77777777" w:rsidTr="00876C61">
        <w:tc>
          <w:tcPr>
            <w:tcW w:w="4975" w:type="dxa"/>
          </w:tcPr>
          <w:p w14:paraId="247067DB"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Coordinate with Green Age Farms, Ministry of Agriculture, and teachers to create curriculums, install hydroponics unit.</w:t>
            </w:r>
          </w:p>
        </w:tc>
        <w:tc>
          <w:tcPr>
            <w:tcW w:w="4230" w:type="dxa"/>
          </w:tcPr>
          <w:p w14:paraId="074D0CE3"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*Completed ag/climate science curriculum</w:t>
            </w:r>
          </w:p>
          <w:p w14:paraId="31F40927"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*Installation of hydroponics unit</w:t>
            </w:r>
          </w:p>
        </w:tc>
        <w:tc>
          <w:tcPr>
            <w:tcW w:w="2145" w:type="dxa"/>
          </w:tcPr>
          <w:p w14:paraId="7A0FE8D8"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*Meeting minutes</w:t>
            </w:r>
          </w:p>
          <w:p w14:paraId="4F6491D7"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*Curriculum</w:t>
            </w:r>
          </w:p>
        </w:tc>
        <w:tc>
          <w:tcPr>
            <w:tcW w:w="3135" w:type="dxa"/>
          </w:tcPr>
          <w:p w14:paraId="603BCA2F" w14:textId="03460259"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*Comprehensiveness of secondary students must be </w:t>
            </w:r>
            <w:r w:rsidR="00173814">
              <w:rPr>
                <w:rFonts w:ascii="Times New Roman" w:eastAsia="Times New Roman" w:hAnsi="Times New Roman" w:cs="Times New Roman"/>
                <w:sz w:val="20"/>
                <w:szCs w:val="20"/>
              </w:rPr>
              <w:t>evaluated</w:t>
            </w:r>
            <w:r>
              <w:rPr>
                <w:rFonts w:ascii="Times New Roman" w:eastAsia="Times New Roman" w:hAnsi="Times New Roman" w:cs="Times New Roman"/>
                <w:sz w:val="20"/>
                <w:szCs w:val="20"/>
              </w:rPr>
              <w:t xml:space="preserve"> before rollout.</w:t>
            </w:r>
          </w:p>
        </w:tc>
      </w:tr>
      <w:tr w:rsidR="00876C61" w14:paraId="6B93AF17" w14:textId="77777777" w:rsidTr="00876C61">
        <w:tc>
          <w:tcPr>
            <w:tcW w:w="4975" w:type="dxa"/>
          </w:tcPr>
          <w:p w14:paraId="4E862E7B"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Training and facilitation workshop for teachers designated to teach curriculums, hydroponics system maintenance, and monitoring and evaluation with exit surveys.</w:t>
            </w:r>
          </w:p>
        </w:tc>
        <w:tc>
          <w:tcPr>
            <w:tcW w:w="4230" w:type="dxa"/>
          </w:tcPr>
          <w:p w14:paraId="0CB204D2"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*Completed training and facilitation session with teachers of agricultural science and climate science semester curriculum</w:t>
            </w:r>
          </w:p>
        </w:tc>
        <w:tc>
          <w:tcPr>
            <w:tcW w:w="2145" w:type="dxa"/>
          </w:tcPr>
          <w:p w14:paraId="246FA17D"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*Attendance logs</w:t>
            </w:r>
          </w:p>
          <w:p w14:paraId="699310E6"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*Surveys</w:t>
            </w:r>
          </w:p>
        </w:tc>
        <w:tc>
          <w:tcPr>
            <w:tcW w:w="3135" w:type="dxa"/>
          </w:tcPr>
          <w:p w14:paraId="49FC3540"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 Coordination efforts make take time between key stakeholders.</w:t>
            </w:r>
          </w:p>
        </w:tc>
      </w:tr>
      <w:tr w:rsidR="00876C61" w14:paraId="367598D5" w14:textId="77777777" w:rsidTr="00876C61">
        <w:tc>
          <w:tcPr>
            <w:tcW w:w="4975" w:type="dxa"/>
          </w:tcPr>
          <w:p w14:paraId="1BB0F334"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Focus group with students to determine crops they wish to grow for inaugural harvest, and plan for harvest distribution.</w:t>
            </w:r>
          </w:p>
        </w:tc>
        <w:tc>
          <w:tcPr>
            <w:tcW w:w="4230" w:type="dxa"/>
          </w:tcPr>
          <w:p w14:paraId="6E6ED074"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*Crop choices agreed upon by students and shared via documentation. </w:t>
            </w:r>
          </w:p>
        </w:tc>
        <w:tc>
          <w:tcPr>
            <w:tcW w:w="2145" w:type="dxa"/>
          </w:tcPr>
          <w:p w14:paraId="2C3FE5AE"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*Attendance logs</w:t>
            </w:r>
          </w:p>
          <w:p w14:paraId="2A5B21A6"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*Crop seed lists</w:t>
            </w:r>
          </w:p>
        </w:tc>
        <w:tc>
          <w:tcPr>
            <w:tcW w:w="3135" w:type="dxa"/>
          </w:tcPr>
          <w:p w14:paraId="0526A431"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 Coordination efforts make take time between key stakeholders.</w:t>
            </w:r>
          </w:p>
        </w:tc>
      </w:tr>
      <w:tr w:rsidR="00876C61" w14:paraId="202013C9" w14:textId="77777777" w:rsidTr="00876C61">
        <w:tc>
          <w:tcPr>
            <w:tcW w:w="4975" w:type="dxa"/>
          </w:tcPr>
          <w:p w14:paraId="58750396"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seeds/seedlings, gardening tools, and other vertical farming miscellaneous materials.</w:t>
            </w:r>
          </w:p>
        </w:tc>
        <w:tc>
          <w:tcPr>
            <w:tcW w:w="4230" w:type="dxa"/>
          </w:tcPr>
          <w:p w14:paraId="1C177407"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initial seeds/seedlings and gardening tools in bulk.</w:t>
            </w:r>
          </w:p>
        </w:tc>
        <w:tc>
          <w:tcPr>
            <w:tcW w:w="2145" w:type="dxa"/>
          </w:tcPr>
          <w:p w14:paraId="4ACADE8C"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receipts</w:t>
            </w:r>
          </w:p>
        </w:tc>
        <w:tc>
          <w:tcPr>
            <w:tcW w:w="3135" w:type="dxa"/>
          </w:tcPr>
          <w:p w14:paraId="63C88EED"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*Seed/seedling purchases will be ongoing throughout academic year.</w:t>
            </w:r>
          </w:p>
        </w:tc>
      </w:tr>
      <w:tr w:rsidR="00876C61" w14:paraId="1647DC55" w14:textId="77777777" w:rsidTr="00876C61">
        <w:tc>
          <w:tcPr>
            <w:tcW w:w="4975" w:type="dxa"/>
          </w:tcPr>
          <w:p w14:paraId="09A3B8E6"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Coordinate an annual key stakeholder meeting to revamp curriculum and monitoring and evaluation methods.</w:t>
            </w:r>
          </w:p>
        </w:tc>
        <w:tc>
          <w:tcPr>
            <w:tcW w:w="4230" w:type="dxa"/>
          </w:tcPr>
          <w:p w14:paraId="68F90FD7" w14:textId="4905369C"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*Clearly outlined improved monitoring and evaluation framework,</w:t>
            </w:r>
            <w:r w:rsidR="00173814">
              <w:rPr>
                <w:rFonts w:ascii="Times New Roman" w:eastAsia="Times New Roman" w:hAnsi="Times New Roman" w:cs="Times New Roman"/>
                <w:sz w:val="20"/>
                <w:szCs w:val="20"/>
              </w:rPr>
              <w:t xml:space="preserve"> revamped</w:t>
            </w:r>
            <w:r>
              <w:rPr>
                <w:rFonts w:ascii="Times New Roman" w:eastAsia="Times New Roman" w:hAnsi="Times New Roman" w:cs="Times New Roman"/>
                <w:sz w:val="20"/>
                <w:szCs w:val="20"/>
              </w:rPr>
              <w:t xml:space="preserve"> curriculum.</w:t>
            </w:r>
          </w:p>
        </w:tc>
        <w:tc>
          <w:tcPr>
            <w:tcW w:w="2145" w:type="dxa"/>
          </w:tcPr>
          <w:p w14:paraId="35E1A577"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*Meeting notes</w:t>
            </w:r>
          </w:p>
          <w:p w14:paraId="2C959176"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*Surveys</w:t>
            </w:r>
          </w:p>
        </w:tc>
        <w:tc>
          <w:tcPr>
            <w:tcW w:w="3135" w:type="dxa"/>
          </w:tcPr>
          <w:p w14:paraId="00FA1D6F" w14:textId="77777777" w:rsidR="00876C61" w:rsidRDefault="00876C61" w:rsidP="00876C61">
            <w:pPr>
              <w:rPr>
                <w:rFonts w:ascii="Times New Roman" w:eastAsia="Times New Roman" w:hAnsi="Times New Roman" w:cs="Times New Roman"/>
                <w:sz w:val="20"/>
                <w:szCs w:val="20"/>
              </w:rPr>
            </w:pPr>
            <w:r>
              <w:rPr>
                <w:rFonts w:ascii="Times New Roman" w:eastAsia="Times New Roman" w:hAnsi="Times New Roman" w:cs="Times New Roman"/>
                <w:sz w:val="20"/>
                <w:szCs w:val="20"/>
              </w:rPr>
              <w:t>*May be bi-annual or quarterly to ensure curriculum effectiveness.</w:t>
            </w:r>
          </w:p>
        </w:tc>
      </w:tr>
    </w:tbl>
    <w:p w14:paraId="704594F9" w14:textId="77777777" w:rsidR="009419EB" w:rsidRDefault="009419EB">
      <w:pPr>
        <w:sectPr w:rsidR="009419EB">
          <w:pgSz w:w="15840" w:h="12240" w:orient="landscape"/>
          <w:pgMar w:top="1440" w:right="1440" w:bottom="1440" w:left="1440" w:header="720" w:footer="720" w:gutter="0"/>
          <w:cols w:space="720"/>
        </w:sectPr>
      </w:pPr>
    </w:p>
    <w:p w14:paraId="38711ACE" w14:textId="77777777" w:rsidR="009419EB"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26BFB7C8" w14:textId="77777777" w:rsidR="001F6016" w:rsidRDefault="001F6016" w:rsidP="001F6016">
      <w:pPr>
        <w:spacing w:after="0"/>
        <w:rPr>
          <w:rFonts w:ascii="Times New Roman" w:eastAsia="Times New Roman" w:hAnsi="Times New Roman" w:cs="Times New Roman"/>
          <w:i/>
          <w:iCs/>
          <w:sz w:val="24"/>
          <w:szCs w:val="24"/>
        </w:rPr>
      </w:pPr>
      <w:proofErr w:type="spellStart"/>
      <w:r w:rsidRPr="001F6016">
        <w:rPr>
          <w:rFonts w:ascii="Times New Roman" w:eastAsia="Times New Roman" w:hAnsi="Times New Roman" w:cs="Times New Roman"/>
          <w:sz w:val="24"/>
          <w:szCs w:val="24"/>
        </w:rPr>
        <w:t>Caprile</w:t>
      </w:r>
      <w:proofErr w:type="spellEnd"/>
      <w:r w:rsidRPr="001F6016">
        <w:rPr>
          <w:rFonts w:ascii="Times New Roman" w:eastAsia="Times New Roman" w:hAnsi="Times New Roman" w:cs="Times New Roman"/>
          <w:sz w:val="24"/>
          <w:szCs w:val="24"/>
        </w:rPr>
        <w:t xml:space="preserve">, A. (2017). </w:t>
      </w:r>
      <w:r w:rsidRPr="001F6016">
        <w:rPr>
          <w:rFonts w:ascii="Times New Roman" w:eastAsia="Times New Roman" w:hAnsi="Times New Roman" w:cs="Times New Roman"/>
          <w:i/>
          <w:iCs/>
          <w:sz w:val="24"/>
          <w:szCs w:val="24"/>
        </w:rPr>
        <w:t xml:space="preserve">United Nations Development Programme Japan-Caribbean Climate Change </w:t>
      </w:r>
    </w:p>
    <w:p w14:paraId="6C772EFF" w14:textId="3E680E91" w:rsidR="001F6016" w:rsidRPr="001F6016" w:rsidRDefault="001F6016" w:rsidP="001F6016">
      <w:pPr>
        <w:spacing w:after="0"/>
        <w:ind w:left="720"/>
        <w:rPr>
          <w:rFonts w:ascii="Times New Roman" w:eastAsia="Times New Roman" w:hAnsi="Times New Roman" w:cs="Times New Roman"/>
          <w:sz w:val="24"/>
          <w:szCs w:val="24"/>
        </w:rPr>
      </w:pPr>
      <w:r w:rsidRPr="001F6016">
        <w:rPr>
          <w:rFonts w:ascii="Times New Roman" w:eastAsia="Times New Roman" w:hAnsi="Times New Roman" w:cs="Times New Roman"/>
          <w:i/>
          <w:iCs/>
          <w:sz w:val="24"/>
          <w:szCs w:val="24"/>
        </w:rPr>
        <w:t>Partnership Mid Term Evaluation Report</w:t>
      </w:r>
      <w:r w:rsidRPr="001F6016">
        <w:rPr>
          <w:rFonts w:ascii="Times New Roman" w:eastAsia="Times New Roman" w:hAnsi="Times New Roman" w:cs="Times New Roman"/>
          <w:sz w:val="24"/>
          <w:szCs w:val="24"/>
        </w:rPr>
        <w:t xml:space="preserve">. UNDP. </w:t>
      </w:r>
      <w:hyperlink r:id="rId5" w:history="1">
        <w:r w:rsidRPr="001F6016">
          <w:rPr>
            <w:rStyle w:val="Hyperlink"/>
            <w:rFonts w:ascii="Times New Roman" w:eastAsia="Times New Roman" w:hAnsi="Times New Roman" w:cs="Times New Roman"/>
            <w:sz w:val="24"/>
            <w:szCs w:val="24"/>
          </w:rPr>
          <w:t>https://www.adaptation-undp.org/resources/project-brief-fact-sheet/grenada-hydroponics-pilot-project</w:t>
        </w:r>
      </w:hyperlink>
    </w:p>
    <w:p w14:paraId="4D37E824" w14:textId="640BA68B" w:rsidR="00406FC9" w:rsidRDefault="00406FC9" w:rsidP="00406FC9">
      <w:pPr>
        <w:spacing w:after="0"/>
        <w:rPr>
          <w:rFonts w:ascii="Times New Roman" w:eastAsia="Times New Roman" w:hAnsi="Times New Roman" w:cs="Times New Roman"/>
          <w:sz w:val="24"/>
          <w:szCs w:val="24"/>
        </w:rPr>
      </w:pPr>
      <w:r w:rsidRPr="00406FC9">
        <w:rPr>
          <w:rFonts w:ascii="Times New Roman" w:eastAsia="Times New Roman" w:hAnsi="Times New Roman" w:cs="Times New Roman"/>
          <w:sz w:val="24"/>
          <w:szCs w:val="24"/>
        </w:rPr>
        <w:t xml:space="preserve">Caribbean Agricultural Research &amp; Development Institute. (2019). </w:t>
      </w:r>
      <w:r w:rsidRPr="00406FC9">
        <w:rPr>
          <w:rFonts w:ascii="Times New Roman" w:eastAsia="Times New Roman" w:hAnsi="Times New Roman" w:cs="Times New Roman"/>
          <w:i/>
          <w:iCs/>
          <w:sz w:val="24"/>
          <w:szCs w:val="24"/>
        </w:rPr>
        <w:t>Grenada</w:t>
      </w:r>
      <w:r w:rsidRPr="00406FC9">
        <w:rPr>
          <w:rFonts w:ascii="Times New Roman" w:eastAsia="Times New Roman" w:hAnsi="Times New Roman" w:cs="Times New Roman"/>
          <w:sz w:val="24"/>
          <w:szCs w:val="24"/>
        </w:rPr>
        <w:t xml:space="preserve">. </w:t>
      </w:r>
    </w:p>
    <w:p w14:paraId="78AE783D" w14:textId="40C49993" w:rsidR="00406FC9" w:rsidRPr="00406FC9" w:rsidRDefault="00000000" w:rsidP="00406FC9">
      <w:pPr>
        <w:spacing w:after="0"/>
        <w:ind w:firstLine="720"/>
        <w:rPr>
          <w:rFonts w:ascii="Times New Roman" w:eastAsia="Times New Roman" w:hAnsi="Times New Roman" w:cs="Times New Roman"/>
          <w:sz w:val="24"/>
          <w:szCs w:val="24"/>
        </w:rPr>
      </w:pPr>
      <w:hyperlink r:id="rId6" w:history="1">
        <w:r w:rsidR="00406FC9" w:rsidRPr="00406FC9">
          <w:rPr>
            <w:rStyle w:val="Hyperlink"/>
            <w:rFonts w:ascii="Times New Roman" w:eastAsia="Times New Roman" w:hAnsi="Times New Roman" w:cs="Times New Roman"/>
            <w:sz w:val="24"/>
            <w:szCs w:val="24"/>
          </w:rPr>
          <w:t>https://www.cardi.org/country-offices/grenada/</w:t>
        </w:r>
      </w:hyperlink>
    </w:p>
    <w:p w14:paraId="37416BB3" w14:textId="4A46DC83" w:rsidR="00406FC9" w:rsidRDefault="00406FC9" w:rsidP="00406FC9">
      <w:pPr>
        <w:spacing w:after="0"/>
        <w:rPr>
          <w:rFonts w:ascii="Times New Roman" w:eastAsia="Times New Roman" w:hAnsi="Times New Roman" w:cs="Times New Roman"/>
          <w:sz w:val="24"/>
          <w:szCs w:val="24"/>
        </w:rPr>
      </w:pPr>
      <w:r w:rsidRPr="00406FC9">
        <w:rPr>
          <w:rFonts w:ascii="Times New Roman" w:eastAsia="Times New Roman" w:hAnsi="Times New Roman" w:cs="Times New Roman"/>
          <w:sz w:val="24"/>
          <w:szCs w:val="24"/>
        </w:rPr>
        <w:t xml:space="preserve">CSIS. (2013). </w:t>
      </w:r>
      <w:r w:rsidRPr="00406FC9">
        <w:rPr>
          <w:rFonts w:ascii="Times New Roman" w:eastAsia="Times New Roman" w:hAnsi="Times New Roman" w:cs="Times New Roman"/>
          <w:i/>
          <w:iCs/>
          <w:sz w:val="24"/>
          <w:szCs w:val="24"/>
        </w:rPr>
        <w:t>Thirty Years Later, Grenada Emerges as a Leader on Sustainable Development</w:t>
      </w:r>
      <w:r w:rsidRPr="00406FC9">
        <w:rPr>
          <w:rFonts w:ascii="Times New Roman" w:eastAsia="Times New Roman" w:hAnsi="Times New Roman" w:cs="Times New Roman"/>
          <w:sz w:val="24"/>
          <w:szCs w:val="24"/>
        </w:rPr>
        <w:t xml:space="preserve">. </w:t>
      </w:r>
    </w:p>
    <w:p w14:paraId="2B0A531F" w14:textId="25C03A4F" w:rsidR="00406FC9" w:rsidRPr="00406FC9" w:rsidRDefault="00406FC9" w:rsidP="00406FC9">
      <w:pPr>
        <w:spacing w:after="0"/>
        <w:ind w:left="720"/>
        <w:rPr>
          <w:rFonts w:ascii="Times New Roman" w:eastAsia="Times New Roman" w:hAnsi="Times New Roman" w:cs="Times New Roman"/>
          <w:sz w:val="24"/>
          <w:szCs w:val="24"/>
        </w:rPr>
      </w:pPr>
      <w:r w:rsidRPr="00406FC9">
        <w:rPr>
          <w:rFonts w:ascii="Times New Roman" w:eastAsia="Times New Roman" w:hAnsi="Times New Roman" w:cs="Times New Roman"/>
          <w:sz w:val="24"/>
          <w:szCs w:val="24"/>
        </w:rPr>
        <w:t xml:space="preserve">CSIS. </w:t>
      </w:r>
      <w:hyperlink r:id="rId7" w:history="1">
        <w:r w:rsidRPr="00406FC9">
          <w:rPr>
            <w:rStyle w:val="Hyperlink"/>
            <w:rFonts w:ascii="Times New Roman" w:eastAsia="Times New Roman" w:hAnsi="Times New Roman" w:cs="Times New Roman"/>
            <w:sz w:val="24"/>
            <w:szCs w:val="24"/>
          </w:rPr>
          <w:t>https://www.csis.org/analysis/thirty-years-later-grenada-emerges-leader-sustainable-development</w:t>
        </w:r>
      </w:hyperlink>
    </w:p>
    <w:p w14:paraId="661E1E89" w14:textId="100B5E80" w:rsidR="009419EB" w:rsidRDefault="00000000">
      <w:p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Ekaputri</w:t>
      </w:r>
      <w:proofErr w:type="spellEnd"/>
      <w:r>
        <w:rPr>
          <w:rFonts w:ascii="Times New Roman" w:eastAsia="Times New Roman" w:hAnsi="Times New Roman" w:cs="Times New Roman"/>
          <w:sz w:val="24"/>
          <w:szCs w:val="24"/>
        </w:rPr>
        <w:t xml:space="preserve">, R. Z., </w:t>
      </w:r>
      <w:proofErr w:type="spellStart"/>
      <w:r>
        <w:rPr>
          <w:rFonts w:ascii="Times New Roman" w:eastAsia="Times New Roman" w:hAnsi="Times New Roman" w:cs="Times New Roman"/>
          <w:sz w:val="24"/>
          <w:szCs w:val="24"/>
        </w:rPr>
        <w:t>Jumiarni</w:t>
      </w:r>
      <w:proofErr w:type="spellEnd"/>
      <w:r>
        <w:rPr>
          <w:rFonts w:ascii="Times New Roman" w:eastAsia="Times New Roman" w:hAnsi="Times New Roman" w:cs="Times New Roman"/>
          <w:sz w:val="24"/>
          <w:szCs w:val="24"/>
        </w:rPr>
        <w:t xml:space="preserve">, D., Usman, B., </w:t>
      </w:r>
      <w:proofErr w:type="spellStart"/>
      <w:r>
        <w:rPr>
          <w:rFonts w:ascii="Times New Roman" w:eastAsia="Times New Roman" w:hAnsi="Times New Roman" w:cs="Times New Roman"/>
          <w:sz w:val="24"/>
          <w:szCs w:val="24"/>
        </w:rPr>
        <w:t>Karyadi</w:t>
      </w:r>
      <w:proofErr w:type="spellEnd"/>
      <w:r>
        <w:rPr>
          <w:rFonts w:ascii="Times New Roman" w:eastAsia="Times New Roman" w:hAnsi="Times New Roman" w:cs="Times New Roman"/>
          <w:sz w:val="24"/>
          <w:szCs w:val="24"/>
        </w:rPr>
        <w:t xml:space="preserve">, B., &amp; Putra, E. P. (2021). The Potential of </w:t>
      </w:r>
    </w:p>
    <w:p w14:paraId="2C865579" w14:textId="77777777" w:rsidR="009419EB" w:rsidRDefault="00000000">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Hydroponics as a Solution for Food Security and Economics Resilience: Issues and Challenges of Smart-</w:t>
      </w:r>
      <w:proofErr w:type="gramStart"/>
      <w:r>
        <w:rPr>
          <w:rFonts w:ascii="Times New Roman" w:eastAsia="Times New Roman" w:hAnsi="Times New Roman" w:cs="Times New Roman"/>
          <w:sz w:val="24"/>
          <w:szCs w:val="24"/>
        </w:rPr>
        <w:t>Agriculture .</w:t>
      </w:r>
      <w:proofErr w:type="gram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Engagement: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Pengabdian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Kepada</w:t>
      </w:r>
      <w:proofErr w:type="spellEnd"/>
      <w:r>
        <w:rPr>
          <w:rFonts w:ascii="Times New Roman" w:eastAsia="Times New Roman" w:hAnsi="Times New Roman" w:cs="Times New Roman"/>
          <w:i/>
          <w:sz w:val="24"/>
          <w:szCs w:val="24"/>
        </w:rPr>
        <w:t xml:space="preserve"> Masyarakat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 xml:space="preserve">(2), 493-505. </w:t>
      </w:r>
      <w:hyperlink r:id="rId8">
        <w:r>
          <w:rPr>
            <w:rFonts w:ascii="Times New Roman" w:eastAsia="Times New Roman" w:hAnsi="Times New Roman" w:cs="Times New Roman"/>
            <w:color w:val="0563C1"/>
            <w:sz w:val="24"/>
            <w:szCs w:val="24"/>
            <w:u w:val="single"/>
          </w:rPr>
          <w:t>https://doi.org/10.52166/engagement.v5i2.457</w:t>
        </w:r>
      </w:hyperlink>
      <w:r>
        <w:rPr>
          <w:rFonts w:ascii="Times New Roman" w:eastAsia="Times New Roman" w:hAnsi="Times New Roman" w:cs="Times New Roman"/>
          <w:sz w:val="24"/>
          <w:szCs w:val="24"/>
        </w:rPr>
        <w:t xml:space="preserve"> </w:t>
      </w:r>
    </w:p>
    <w:p w14:paraId="242B04BE" w14:textId="5A57BE2C" w:rsidR="00CD4F47" w:rsidRDefault="00CD4F47" w:rsidP="00CD4F47">
      <w:pPr>
        <w:spacing w:after="0"/>
        <w:rPr>
          <w:rFonts w:ascii="Times New Roman" w:eastAsia="Times New Roman" w:hAnsi="Times New Roman" w:cs="Times New Roman"/>
          <w:sz w:val="24"/>
          <w:szCs w:val="24"/>
        </w:rPr>
      </w:pPr>
      <w:r w:rsidRPr="00CD4F47">
        <w:rPr>
          <w:rFonts w:ascii="Times New Roman" w:eastAsia="Times New Roman" w:hAnsi="Times New Roman" w:cs="Times New Roman"/>
          <w:sz w:val="24"/>
          <w:szCs w:val="24"/>
        </w:rPr>
        <w:t xml:space="preserve">Green Age Farms. (2021). </w:t>
      </w:r>
      <w:r w:rsidRPr="00CD4F47">
        <w:rPr>
          <w:rFonts w:ascii="Times New Roman" w:eastAsia="Times New Roman" w:hAnsi="Times New Roman" w:cs="Times New Roman"/>
          <w:i/>
          <w:iCs/>
          <w:sz w:val="24"/>
          <w:szCs w:val="24"/>
        </w:rPr>
        <w:t>Green Age Farms</w:t>
      </w:r>
      <w:r w:rsidRPr="00CD4F47">
        <w:rPr>
          <w:rFonts w:ascii="Times New Roman" w:eastAsia="Times New Roman" w:hAnsi="Times New Roman" w:cs="Times New Roman"/>
          <w:sz w:val="24"/>
          <w:szCs w:val="24"/>
        </w:rPr>
        <w:t xml:space="preserve">. </w:t>
      </w:r>
      <w:hyperlink r:id="rId9" w:history="1">
        <w:r w:rsidRPr="00CD4F47">
          <w:rPr>
            <w:rStyle w:val="Hyperlink"/>
            <w:rFonts w:ascii="Times New Roman" w:eastAsia="Times New Roman" w:hAnsi="Times New Roman" w:cs="Times New Roman"/>
            <w:sz w:val="24"/>
            <w:szCs w:val="24"/>
          </w:rPr>
          <w:t>https://www.greenagefarms.com/</w:t>
        </w:r>
      </w:hyperlink>
    </w:p>
    <w:p w14:paraId="75DB4238" w14:textId="459FF29B" w:rsidR="00CD4F47" w:rsidRPr="00CD4F47" w:rsidRDefault="00CD4F47" w:rsidP="00CD4F47">
      <w:pPr>
        <w:spacing w:after="0"/>
        <w:rPr>
          <w:rFonts w:ascii="Times New Roman" w:eastAsia="Times New Roman" w:hAnsi="Times New Roman" w:cs="Times New Roman"/>
          <w:sz w:val="24"/>
          <w:szCs w:val="24"/>
        </w:rPr>
      </w:pPr>
      <w:r w:rsidRPr="00CD4F47">
        <w:rPr>
          <w:rFonts w:ascii="Times New Roman" w:eastAsia="Times New Roman" w:hAnsi="Times New Roman" w:cs="Times New Roman"/>
          <w:sz w:val="24"/>
          <w:szCs w:val="24"/>
        </w:rPr>
        <w:t xml:space="preserve">James, F. (2015). </w:t>
      </w:r>
      <w:r w:rsidRPr="00CD4F47">
        <w:rPr>
          <w:rFonts w:ascii="Times New Roman" w:eastAsia="Times New Roman" w:hAnsi="Times New Roman" w:cs="Times New Roman"/>
          <w:i/>
          <w:iCs/>
          <w:sz w:val="24"/>
          <w:szCs w:val="24"/>
        </w:rPr>
        <w:t>National Agricultural Plan 2015-2030</w:t>
      </w:r>
      <w:r w:rsidRPr="00CD4F47">
        <w:rPr>
          <w:rFonts w:ascii="Times New Roman" w:eastAsia="Times New Roman" w:hAnsi="Times New Roman" w:cs="Times New Roman"/>
          <w:sz w:val="24"/>
          <w:szCs w:val="24"/>
        </w:rPr>
        <w:t>. CARICOM.</w:t>
      </w:r>
    </w:p>
    <w:p w14:paraId="69F7D89B" w14:textId="19A4CE9B" w:rsidR="00CD4F47" w:rsidRDefault="00CD4F47" w:rsidP="00CD4F47">
      <w:pPr>
        <w:spacing w:after="0"/>
        <w:rPr>
          <w:rFonts w:ascii="Times New Roman" w:eastAsia="Times New Roman" w:hAnsi="Times New Roman" w:cs="Times New Roman"/>
          <w:sz w:val="24"/>
          <w:szCs w:val="24"/>
        </w:rPr>
      </w:pPr>
      <w:r w:rsidRPr="00CD4F47">
        <w:rPr>
          <w:rFonts w:ascii="Times New Roman" w:eastAsia="Times New Roman" w:hAnsi="Times New Roman" w:cs="Times New Roman"/>
          <w:sz w:val="24"/>
          <w:szCs w:val="24"/>
        </w:rPr>
        <w:t xml:space="preserve">Lewis, P. (2005). Grenada: A Testing Ground for Lewis’s “Balanced Development” </w:t>
      </w:r>
    </w:p>
    <w:p w14:paraId="55FADF5A" w14:textId="6951A27D" w:rsidR="00CD4F47" w:rsidRPr="00CD4F47" w:rsidRDefault="00CD4F47" w:rsidP="00CD4F47">
      <w:pPr>
        <w:spacing w:after="0"/>
        <w:ind w:left="720"/>
        <w:rPr>
          <w:rFonts w:ascii="Times New Roman" w:eastAsia="Times New Roman" w:hAnsi="Times New Roman" w:cs="Times New Roman"/>
          <w:sz w:val="24"/>
          <w:szCs w:val="24"/>
        </w:rPr>
      </w:pPr>
      <w:r w:rsidRPr="00CD4F47">
        <w:rPr>
          <w:rFonts w:ascii="Times New Roman" w:eastAsia="Times New Roman" w:hAnsi="Times New Roman" w:cs="Times New Roman"/>
          <w:sz w:val="24"/>
          <w:szCs w:val="24"/>
        </w:rPr>
        <w:t xml:space="preserve">Perspectives. </w:t>
      </w:r>
      <w:r w:rsidRPr="00CD4F47">
        <w:rPr>
          <w:rFonts w:ascii="Times New Roman" w:eastAsia="Times New Roman" w:hAnsi="Times New Roman" w:cs="Times New Roman"/>
          <w:i/>
          <w:iCs/>
          <w:sz w:val="24"/>
          <w:szCs w:val="24"/>
        </w:rPr>
        <w:t>Social and Economic Studies</w:t>
      </w:r>
      <w:r w:rsidRPr="00CD4F47">
        <w:rPr>
          <w:rFonts w:ascii="Times New Roman" w:eastAsia="Times New Roman" w:hAnsi="Times New Roman" w:cs="Times New Roman"/>
          <w:sz w:val="24"/>
          <w:szCs w:val="24"/>
        </w:rPr>
        <w:t xml:space="preserve">, </w:t>
      </w:r>
      <w:r w:rsidRPr="00CD4F47">
        <w:rPr>
          <w:rFonts w:ascii="Times New Roman" w:eastAsia="Times New Roman" w:hAnsi="Times New Roman" w:cs="Times New Roman"/>
          <w:i/>
          <w:iCs/>
          <w:sz w:val="24"/>
          <w:szCs w:val="24"/>
        </w:rPr>
        <w:t>54</w:t>
      </w:r>
      <w:r w:rsidRPr="00CD4F47">
        <w:rPr>
          <w:rFonts w:ascii="Times New Roman" w:eastAsia="Times New Roman" w:hAnsi="Times New Roman" w:cs="Times New Roman"/>
          <w:sz w:val="24"/>
          <w:szCs w:val="24"/>
        </w:rPr>
        <w:t xml:space="preserve">(4), 204–237. </w:t>
      </w:r>
      <w:hyperlink r:id="rId10" w:history="1">
        <w:r w:rsidRPr="00CD4F47">
          <w:rPr>
            <w:rStyle w:val="Hyperlink"/>
            <w:rFonts w:ascii="Times New Roman" w:eastAsia="Times New Roman" w:hAnsi="Times New Roman" w:cs="Times New Roman"/>
            <w:sz w:val="24"/>
            <w:szCs w:val="24"/>
          </w:rPr>
          <w:t>https://www.jstor.org/stable/27866450</w:t>
        </w:r>
      </w:hyperlink>
    </w:p>
    <w:p w14:paraId="77EAF3A2" w14:textId="77777777" w:rsidR="00CD4F47" w:rsidRDefault="00CD4F47" w:rsidP="00CD4F47">
      <w:pPr>
        <w:spacing w:after="0"/>
        <w:rPr>
          <w:rFonts w:ascii="Times New Roman" w:eastAsia="Times New Roman" w:hAnsi="Times New Roman" w:cs="Times New Roman"/>
          <w:sz w:val="24"/>
          <w:szCs w:val="24"/>
        </w:rPr>
      </w:pPr>
      <w:r w:rsidRPr="00CD4F47">
        <w:rPr>
          <w:rFonts w:ascii="Times New Roman" w:eastAsia="Times New Roman" w:hAnsi="Times New Roman" w:cs="Times New Roman"/>
          <w:sz w:val="24"/>
          <w:szCs w:val="24"/>
        </w:rPr>
        <w:t xml:space="preserve">National Plan Secretariat. (2019). </w:t>
      </w:r>
      <w:r w:rsidRPr="00CD4F47">
        <w:rPr>
          <w:rFonts w:ascii="Times New Roman" w:eastAsia="Times New Roman" w:hAnsi="Times New Roman" w:cs="Times New Roman"/>
          <w:i/>
          <w:iCs/>
          <w:sz w:val="24"/>
          <w:szCs w:val="24"/>
        </w:rPr>
        <w:t>National Sustainable Development Plan 2020-2035</w:t>
      </w:r>
      <w:r w:rsidRPr="00CD4F47">
        <w:rPr>
          <w:rFonts w:ascii="Times New Roman" w:eastAsia="Times New Roman" w:hAnsi="Times New Roman" w:cs="Times New Roman"/>
          <w:sz w:val="24"/>
          <w:szCs w:val="24"/>
        </w:rPr>
        <w:t xml:space="preserve">. Ministry </w:t>
      </w:r>
    </w:p>
    <w:p w14:paraId="724CB571" w14:textId="6A7EB2F8" w:rsidR="00CD4F47" w:rsidRPr="00CD4F47" w:rsidRDefault="00CD4F47" w:rsidP="00CD4F47">
      <w:pPr>
        <w:spacing w:after="0"/>
        <w:ind w:firstLine="720"/>
        <w:rPr>
          <w:rFonts w:ascii="Times New Roman" w:eastAsia="Times New Roman" w:hAnsi="Times New Roman" w:cs="Times New Roman"/>
          <w:sz w:val="24"/>
          <w:szCs w:val="24"/>
        </w:rPr>
      </w:pPr>
      <w:r w:rsidRPr="00CD4F47">
        <w:rPr>
          <w:rFonts w:ascii="Times New Roman" w:eastAsia="Times New Roman" w:hAnsi="Times New Roman" w:cs="Times New Roman"/>
          <w:sz w:val="24"/>
          <w:szCs w:val="24"/>
        </w:rPr>
        <w:t>of Finance, Planning, Economic, and Physical Development.</w:t>
      </w:r>
      <w:r>
        <w:rPr>
          <w:rFonts w:ascii="Times New Roman" w:eastAsia="Times New Roman" w:hAnsi="Times New Roman" w:cs="Times New Roman"/>
          <w:sz w:val="24"/>
          <w:szCs w:val="24"/>
        </w:rPr>
        <w:t xml:space="preserve"> Grenada.</w:t>
      </w:r>
    </w:p>
    <w:p w14:paraId="6C8A1BA2" w14:textId="38A4492A" w:rsidR="00406FC9" w:rsidRDefault="00406FC9" w:rsidP="00406FC9">
      <w:pPr>
        <w:spacing w:after="0"/>
        <w:rPr>
          <w:rFonts w:ascii="Times New Roman" w:eastAsia="Times New Roman" w:hAnsi="Times New Roman" w:cs="Times New Roman"/>
          <w:sz w:val="24"/>
          <w:szCs w:val="24"/>
        </w:rPr>
      </w:pPr>
      <w:r w:rsidRPr="00406FC9">
        <w:rPr>
          <w:rFonts w:ascii="Times New Roman" w:eastAsia="Times New Roman" w:hAnsi="Times New Roman" w:cs="Times New Roman"/>
          <w:sz w:val="24"/>
          <w:szCs w:val="24"/>
        </w:rPr>
        <w:t xml:space="preserve">Relief Web. (2020, July). </w:t>
      </w:r>
      <w:r w:rsidRPr="00406FC9">
        <w:rPr>
          <w:rFonts w:ascii="Times New Roman" w:eastAsia="Times New Roman" w:hAnsi="Times New Roman" w:cs="Times New Roman"/>
          <w:i/>
          <w:iCs/>
          <w:sz w:val="24"/>
          <w:szCs w:val="24"/>
        </w:rPr>
        <w:t>Grenada: Country Profile</w:t>
      </w:r>
      <w:r w:rsidRPr="00406FC9">
        <w:rPr>
          <w:rFonts w:ascii="Times New Roman" w:eastAsia="Times New Roman" w:hAnsi="Times New Roman" w:cs="Times New Roman"/>
          <w:sz w:val="24"/>
          <w:szCs w:val="24"/>
        </w:rPr>
        <w:t xml:space="preserve">. </w:t>
      </w:r>
    </w:p>
    <w:p w14:paraId="3543A806" w14:textId="0CBDFEF1" w:rsidR="00406FC9" w:rsidRDefault="00000000" w:rsidP="00406FC9">
      <w:pPr>
        <w:spacing w:after="0"/>
        <w:ind w:firstLine="720"/>
        <w:rPr>
          <w:rFonts w:ascii="Times New Roman" w:eastAsia="Times New Roman" w:hAnsi="Times New Roman" w:cs="Times New Roman"/>
          <w:sz w:val="24"/>
          <w:szCs w:val="24"/>
        </w:rPr>
      </w:pPr>
      <w:hyperlink r:id="rId11" w:history="1">
        <w:r w:rsidR="00406FC9" w:rsidRPr="00406FC9">
          <w:rPr>
            <w:rStyle w:val="Hyperlink"/>
            <w:rFonts w:ascii="Times New Roman" w:eastAsia="Times New Roman" w:hAnsi="Times New Roman" w:cs="Times New Roman"/>
            <w:sz w:val="24"/>
            <w:szCs w:val="24"/>
          </w:rPr>
          <w:t>https://reliefweb.int/report/grenada/grenada-country-profile-july-2020</w:t>
        </w:r>
      </w:hyperlink>
    </w:p>
    <w:p w14:paraId="6C65891C" w14:textId="77777777" w:rsidR="00CD4F47" w:rsidRDefault="00CD4F47" w:rsidP="00406FC9">
      <w:pPr>
        <w:spacing w:after="0"/>
        <w:rPr>
          <w:rFonts w:ascii="Times New Roman" w:eastAsia="Times New Roman" w:hAnsi="Times New Roman" w:cs="Times New Roman"/>
          <w:i/>
          <w:iCs/>
          <w:sz w:val="24"/>
          <w:szCs w:val="24"/>
        </w:rPr>
      </w:pPr>
      <w:r w:rsidRPr="00CD4F47">
        <w:rPr>
          <w:rFonts w:ascii="Times New Roman" w:eastAsia="Times New Roman" w:hAnsi="Times New Roman" w:cs="Times New Roman"/>
          <w:sz w:val="24"/>
          <w:szCs w:val="24"/>
        </w:rPr>
        <w:t xml:space="preserve">UNDESA. (2012). </w:t>
      </w:r>
      <w:r w:rsidRPr="00CD4F47">
        <w:rPr>
          <w:rFonts w:ascii="Times New Roman" w:eastAsia="Times New Roman" w:hAnsi="Times New Roman" w:cs="Times New Roman"/>
          <w:i/>
          <w:iCs/>
          <w:sz w:val="24"/>
          <w:szCs w:val="24"/>
        </w:rPr>
        <w:t xml:space="preserve">Climate Change Adaptation in Grenada: Water Resources, Coastal </w:t>
      </w:r>
    </w:p>
    <w:p w14:paraId="3DBA3D59" w14:textId="577F14CF" w:rsidR="00CD4F47" w:rsidRDefault="00CD4F47" w:rsidP="00CD4F47">
      <w:pPr>
        <w:spacing w:after="0"/>
        <w:ind w:left="720"/>
        <w:rPr>
          <w:rFonts w:ascii="Times New Roman" w:eastAsia="Times New Roman" w:hAnsi="Times New Roman" w:cs="Times New Roman"/>
          <w:sz w:val="24"/>
          <w:szCs w:val="24"/>
        </w:rPr>
      </w:pPr>
      <w:r w:rsidRPr="00CD4F47">
        <w:rPr>
          <w:rFonts w:ascii="Times New Roman" w:eastAsia="Times New Roman" w:hAnsi="Times New Roman" w:cs="Times New Roman"/>
          <w:i/>
          <w:iCs/>
          <w:sz w:val="24"/>
          <w:szCs w:val="24"/>
        </w:rPr>
        <w:t>Ecosystems and Renewable Energy</w:t>
      </w:r>
      <w:r w:rsidRPr="00CD4F47">
        <w:rPr>
          <w:rFonts w:ascii="Times New Roman" w:eastAsia="Times New Roman" w:hAnsi="Times New Roman" w:cs="Times New Roman"/>
          <w:sz w:val="24"/>
          <w:szCs w:val="24"/>
        </w:rPr>
        <w:t xml:space="preserve">. </w:t>
      </w:r>
      <w:hyperlink r:id="rId12" w:history="1">
        <w:r w:rsidRPr="00CD4F47">
          <w:rPr>
            <w:rStyle w:val="Hyperlink"/>
            <w:rFonts w:ascii="Times New Roman" w:eastAsia="Times New Roman" w:hAnsi="Times New Roman" w:cs="Times New Roman"/>
            <w:sz w:val="24"/>
            <w:szCs w:val="24"/>
          </w:rPr>
          <w:t>https://sdgs.un.org/publications/climate-change-adaptation-grenada-water-resources-coastal-ecosystems-and-renewable</w:t>
        </w:r>
      </w:hyperlink>
    </w:p>
    <w:p w14:paraId="47E5251E" w14:textId="77777777" w:rsidR="00CD4F47" w:rsidRDefault="00CD4F47" w:rsidP="00406FC9">
      <w:pPr>
        <w:spacing w:after="0"/>
        <w:rPr>
          <w:rFonts w:ascii="Times New Roman" w:eastAsia="Times New Roman" w:hAnsi="Times New Roman" w:cs="Times New Roman"/>
          <w:sz w:val="24"/>
          <w:szCs w:val="24"/>
        </w:rPr>
      </w:pPr>
      <w:r w:rsidRPr="00CD4F47">
        <w:rPr>
          <w:rFonts w:ascii="Times New Roman" w:eastAsia="Times New Roman" w:hAnsi="Times New Roman" w:cs="Times New Roman"/>
          <w:sz w:val="24"/>
          <w:szCs w:val="24"/>
        </w:rPr>
        <w:t xml:space="preserve">USAID. (2021). </w:t>
      </w:r>
      <w:r w:rsidRPr="00CD4F47">
        <w:rPr>
          <w:rFonts w:ascii="Times New Roman" w:eastAsia="Times New Roman" w:hAnsi="Times New Roman" w:cs="Times New Roman"/>
          <w:i/>
          <w:iCs/>
          <w:sz w:val="24"/>
          <w:szCs w:val="24"/>
        </w:rPr>
        <w:t>Climate Risk Profile: Eastern and Southern Caribbean</w:t>
      </w:r>
      <w:r w:rsidRPr="00CD4F47">
        <w:rPr>
          <w:rFonts w:ascii="Times New Roman" w:eastAsia="Times New Roman" w:hAnsi="Times New Roman" w:cs="Times New Roman"/>
          <w:sz w:val="24"/>
          <w:szCs w:val="24"/>
        </w:rPr>
        <w:t xml:space="preserve"> (p. 7). USAID. </w:t>
      </w:r>
    </w:p>
    <w:p w14:paraId="0B95BB9E" w14:textId="16F3BB66" w:rsidR="00CD4F47" w:rsidRDefault="00000000" w:rsidP="00CD4F47">
      <w:pPr>
        <w:spacing w:after="0"/>
        <w:ind w:left="720"/>
        <w:rPr>
          <w:rFonts w:ascii="Times New Roman" w:eastAsia="Times New Roman" w:hAnsi="Times New Roman" w:cs="Times New Roman"/>
          <w:sz w:val="24"/>
          <w:szCs w:val="24"/>
        </w:rPr>
      </w:pPr>
      <w:hyperlink r:id="rId13" w:history="1">
        <w:r w:rsidR="00CD4F47" w:rsidRPr="00CD4F47">
          <w:rPr>
            <w:rStyle w:val="Hyperlink"/>
            <w:rFonts w:ascii="Times New Roman" w:eastAsia="Times New Roman" w:hAnsi="Times New Roman" w:cs="Times New Roman"/>
            <w:sz w:val="24"/>
            <w:szCs w:val="24"/>
          </w:rPr>
          <w:t>https://www.climatelinks.org/resources/climate-risk-profile-eastern-and-southern-caribbean-0</w:t>
        </w:r>
      </w:hyperlink>
    </w:p>
    <w:p w14:paraId="0A759E1A" w14:textId="6ADBC15B" w:rsidR="00406FC9" w:rsidRPr="00406FC9" w:rsidRDefault="00406FC9" w:rsidP="00406FC9">
      <w:pPr>
        <w:spacing w:after="0"/>
        <w:rPr>
          <w:rFonts w:ascii="Times New Roman" w:eastAsia="Times New Roman" w:hAnsi="Times New Roman" w:cs="Times New Roman"/>
          <w:sz w:val="24"/>
          <w:szCs w:val="24"/>
        </w:rPr>
      </w:pPr>
      <w:r w:rsidRPr="00406FC9">
        <w:rPr>
          <w:rFonts w:ascii="Times New Roman" w:eastAsia="Times New Roman" w:hAnsi="Times New Roman" w:cs="Times New Roman"/>
          <w:sz w:val="24"/>
          <w:szCs w:val="24"/>
        </w:rPr>
        <w:t xml:space="preserve">Usry, S. (2015). Grenada Parishes. </w:t>
      </w:r>
      <w:proofErr w:type="spellStart"/>
      <w:r w:rsidRPr="00406FC9">
        <w:rPr>
          <w:rFonts w:ascii="Times New Roman" w:eastAsia="Times New Roman" w:hAnsi="Times New Roman" w:cs="Times New Roman"/>
          <w:sz w:val="24"/>
          <w:szCs w:val="24"/>
        </w:rPr>
        <w:t>Statoids</w:t>
      </w:r>
      <w:proofErr w:type="spellEnd"/>
      <w:r w:rsidRPr="00406FC9">
        <w:rPr>
          <w:rFonts w:ascii="Times New Roman" w:eastAsia="Times New Roman" w:hAnsi="Times New Roman" w:cs="Times New Roman"/>
          <w:sz w:val="24"/>
          <w:szCs w:val="24"/>
        </w:rPr>
        <w:t xml:space="preserve">. </w:t>
      </w:r>
      <w:hyperlink r:id="rId14" w:history="1">
        <w:r w:rsidRPr="00781D87">
          <w:rPr>
            <w:rStyle w:val="Hyperlink"/>
            <w:rFonts w:ascii="Times New Roman" w:eastAsia="Times New Roman" w:hAnsi="Times New Roman" w:cs="Times New Roman"/>
            <w:sz w:val="24"/>
            <w:szCs w:val="24"/>
          </w:rPr>
          <w:t>http://www.statoids.com/ugd.html</w:t>
        </w:r>
      </w:hyperlink>
      <w:r>
        <w:rPr>
          <w:rFonts w:ascii="Times New Roman" w:eastAsia="Times New Roman" w:hAnsi="Times New Roman" w:cs="Times New Roman"/>
          <w:sz w:val="24"/>
          <w:szCs w:val="24"/>
        </w:rPr>
        <w:t xml:space="preserve"> </w:t>
      </w:r>
    </w:p>
    <w:p w14:paraId="75EEFDF3" w14:textId="77777777" w:rsidR="00CD4F47" w:rsidRDefault="00CD4F47" w:rsidP="00CD4F47">
      <w:pPr>
        <w:spacing w:after="0" w:line="240" w:lineRule="auto"/>
        <w:rPr>
          <w:rFonts w:ascii="Times New Roman" w:eastAsia="Times New Roman" w:hAnsi="Times New Roman" w:cs="Times New Roman"/>
          <w:sz w:val="24"/>
          <w:szCs w:val="24"/>
        </w:rPr>
      </w:pPr>
      <w:r w:rsidRPr="00CD4F47">
        <w:rPr>
          <w:rFonts w:ascii="Times New Roman" w:eastAsia="Times New Roman" w:hAnsi="Times New Roman" w:cs="Times New Roman"/>
          <w:sz w:val="24"/>
          <w:szCs w:val="24"/>
        </w:rPr>
        <w:t xml:space="preserve">World Bank. (2022). </w:t>
      </w:r>
      <w:r w:rsidRPr="00CD4F47">
        <w:rPr>
          <w:rFonts w:ascii="Times New Roman" w:eastAsia="Times New Roman" w:hAnsi="Times New Roman" w:cs="Times New Roman"/>
          <w:i/>
          <w:iCs/>
          <w:sz w:val="24"/>
          <w:szCs w:val="24"/>
        </w:rPr>
        <w:t xml:space="preserve">World Development Indicators | </w:t>
      </w:r>
      <w:proofErr w:type="spellStart"/>
      <w:r w:rsidRPr="00CD4F47">
        <w:rPr>
          <w:rFonts w:ascii="Times New Roman" w:eastAsia="Times New Roman" w:hAnsi="Times New Roman" w:cs="Times New Roman"/>
          <w:i/>
          <w:iCs/>
          <w:sz w:val="24"/>
          <w:szCs w:val="24"/>
        </w:rPr>
        <w:t>DataBank</w:t>
      </w:r>
      <w:proofErr w:type="spellEnd"/>
      <w:r w:rsidRPr="00CD4F47">
        <w:rPr>
          <w:rFonts w:ascii="Times New Roman" w:eastAsia="Times New Roman" w:hAnsi="Times New Roman" w:cs="Times New Roman"/>
          <w:sz w:val="24"/>
          <w:szCs w:val="24"/>
        </w:rPr>
        <w:t xml:space="preserve">. </w:t>
      </w:r>
    </w:p>
    <w:p w14:paraId="57ADB3B9" w14:textId="5D0BC817" w:rsidR="00CD4F47" w:rsidRPr="00CD4F47" w:rsidRDefault="00000000" w:rsidP="00CD4F47">
      <w:pPr>
        <w:spacing w:after="0" w:line="240" w:lineRule="auto"/>
        <w:ind w:firstLine="720"/>
        <w:rPr>
          <w:rFonts w:ascii="Times New Roman" w:eastAsia="Times New Roman" w:hAnsi="Times New Roman" w:cs="Times New Roman"/>
          <w:sz w:val="24"/>
          <w:szCs w:val="24"/>
        </w:rPr>
      </w:pPr>
      <w:hyperlink r:id="rId15" w:history="1">
        <w:r w:rsidR="00CD4F47" w:rsidRPr="00CD4F47">
          <w:rPr>
            <w:rStyle w:val="Hyperlink"/>
            <w:rFonts w:ascii="Times New Roman" w:eastAsia="Times New Roman" w:hAnsi="Times New Roman" w:cs="Times New Roman"/>
            <w:sz w:val="24"/>
            <w:szCs w:val="24"/>
          </w:rPr>
          <w:t>https://databank.worldbank.org/source/world-development-indicators</w:t>
        </w:r>
      </w:hyperlink>
    </w:p>
    <w:p w14:paraId="438A8957" w14:textId="34DB1561" w:rsidR="00CD4F47" w:rsidRDefault="00CD4F47" w:rsidP="00CD4F47">
      <w:pPr>
        <w:spacing w:after="0" w:line="240" w:lineRule="auto"/>
        <w:rPr>
          <w:rFonts w:ascii="Times New Roman" w:eastAsia="Times New Roman" w:hAnsi="Times New Roman" w:cs="Times New Roman"/>
          <w:sz w:val="24"/>
          <w:szCs w:val="24"/>
        </w:rPr>
      </w:pPr>
      <w:r w:rsidRPr="00CD4F47">
        <w:rPr>
          <w:rFonts w:ascii="Times New Roman" w:eastAsia="Times New Roman" w:hAnsi="Times New Roman" w:cs="Times New Roman"/>
          <w:sz w:val="24"/>
          <w:szCs w:val="24"/>
        </w:rPr>
        <w:t xml:space="preserve">World Food Programme. (2022, August). </w:t>
      </w:r>
      <w:r w:rsidRPr="00CD4F47">
        <w:rPr>
          <w:rFonts w:ascii="Times New Roman" w:eastAsia="Times New Roman" w:hAnsi="Times New Roman" w:cs="Times New Roman"/>
          <w:i/>
          <w:iCs/>
          <w:sz w:val="24"/>
          <w:szCs w:val="24"/>
        </w:rPr>
        <w:t>Caribbean Food Security &amp; Livelihoods Survey</w:t>
      </w:r>
      <w:r w:rsidRPr="00CD4F47">
        <w:rPr>
          <w:rFonts w:ascii="Times New Roman" w:eastAsia="Times New Roman" w:hAnsi="Times New Roman" w:cs="Times New Roman"/>
          <w:sz w:val="24"/>
          <w:szCs w:val="24"/>
        </w:rPr>
        <w:t xml:space="preserve">. </w:t>
      </w:r>
    </w:p>
    <w:p w14:paraId="3889C56B" w14:textId="2ABCDA66" w:rsidR="009419EB" w:rsidRPr="00963027" w:rsidRDefault="000B6755" w:rsidP="00963027">
      <w:pPr>
        <w:spacing w:after="0" w:line="240" w:lineRule="auto"/>
        <w:ind w:left="720"/>
        <w:rPr>
          <w:rFonts w:ascii="Times New Roman" w:eastAsia="Times New Roman" w:hAnsi="Times New Roman" w:cs="Times New Roman"/>
          <w:sz w:val="24"/>
          <w:szCs w:val="24"/>
        </w:rPr>
      </w:pPr>
      <w:hyperlink r:id="rId16" w:history="1">
        <w:r w:rsidRPr="006C5183">
          <w:rPr>
            <w:rStyle w:val="Hyperlink"/>
            <w:rFonts w:ascii="Times New Roman" w:hAnsi="Times New Roman" w:cs="Times New Roman"/>
            <w:sz w:val="24"/>
            <w:szCs w:val="24"/>
          </w:rPr>
          <w:t>https://www.wfp.org/publications/caribbean-covid-19-food-security-livelihoods-impact-survey-round-4-february-2022</w:t>
        </w:r>
      </w:hyperlink>
      <w:r w:rsidR="00963027" w:rsidRPr="00963027">
        <w:rPr>
          <w:rFonts w:ascii="Times New Roman" w:hAnsi="Times New Roman" w:cs="Times New Roman"/>
          <w:sz w:val="24"/>
          <w:szCs w:val="24"/>
        </w:rPr>
        <w:t xml:space="preserve"> </w:t>
      </w:r>
    </w:p>
    <w:p w14:paraId="18677822" w14:textId="7E146ABD" w:rsidR="009419EB" w:rsidRPr="00963027" w:rsidRDefault="009630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sectPr w:rsidR="009419EB" w:rsidRPr="009630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ztrS0MDAyNTe1NDVW0lEKTi0uzszPAykwqgUA39wPwiwAAAA="/>
  </w:docVars>
  <w:rsids>
    <w:rsidRoot w:val="009419EB"/>
    <w:rsid w:val="000B6755"/>
    <w:rsid w:val="00173814"/>
    <w:rsid w:val="001A2F9A"/>
    <w:rsid w:val="001F6016"/>
    <w:rsid w:val="00406FC9"/>
    <w:rsid w:val="00446C59"/>
    <w:rsid w:val="007C6EF4"/>
    <w:rsid w:val="00876C61"/>
    <w:rsid w:val="008B01D6"/>
    <w:rsid w:val="009419EB"/>
    <w:rsid w:val="00963027"/>
    <w:rsid w:val="00B75F42"/>
    <w:rsid w:val="00BD4BFD"/>
    <w:rsid w:val="00CD4F47"/>
    <w:rsid w:val="00DD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163E"/>
  <w15:docId w15:val="{65EB2468-ACBB-4D3C-8610-82F54D0C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71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46D4C"/>
    <w:pPr>
      <w:spacing w:after="0" w:line="240" w:lineRule="auto"/>
    </w:pPr>
    <w:rPr>
      <w:rFonts w:eastAsiaTheme="minorEastAsia"/>
    </w:rPr>
  </w:style>
  <w:style w:type="character" w:customStyle="1" w:styleId="NoSpacingChar">
    <w:name w:val="No Spacing Char"/>
    <w:basedOn w:val="DefaultParagraphFont"/>
    <w:link w:val="NoSpacing"/>
    <w:uiPriority w:val="1"/>
    <w:rsid w:val="00A46D4C"/>
    <w:rPr>
      <w:rFonts w:eastAsiaTheme="minorEastAsia"/>
    </w:rPr>
  </w:style>
  <w:style w:type="paragraph" w:styleId="ListParagraph">
    <w:name w:val="List Paragraph"/>
    <w:basedOn w:val="Normal"/>
    <w:uiPriority w:val="34"/>
    <w:qFormat/>
    <w:rsid w:val="00CF5A1B"/>
    <w:pPr>
      <w:ind w:left="720"/>
      <w:contextualSpacing/>
    </w:pPr>
  </w:style>
  <w:style w:type="paragraph" w:styleId="Header">
    <w:name w:val="header"/>
    <w:basedOn w:val="Normal"/>
    <w:link w:val="HeaderChar"/>
    <w:uiPriority w:val="99"/>
    <w:unhideWhenUsed/>
    <w:rsid w:val="00000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FBC"/>
  </w:style>
  <w:style w:type="paragraph" w:styleId="Footer">
    <w:name w:val="footer"/>
    <w:basedOn w:val="Normal"/>
    <w:link w:val="FooterChar"/>
    <w:uiPriority w:val="99"/>
    <w:unhideWhenUsed/>
    <w:rsid w:val="00000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FBC"/>
  </w:style>
  <w:style w:type="character" w:styleId="Hyperlink">
    <w:name w:val="Hyperlink"/>
    <w:basedOn w:val="DefaultParagraphFont"/>
    <w:uiPriority w:val="99"/>
    <w:unhideWhenUsed/>
    <w:rsid w:val="00721A8B"/>
    <w:rPr>
      <w:color w:val="0563C1" w:themeColor="hyperlink"/>
      <w:u w:val="single"/>
    </w:rPr>
  </w:style>
  <w:style w:type="character" w:styleId="UnresolvedMention">
    <w:name w:val="Unresolved Mention"/>
    <w:basedOn w:val="DefaultParagraphFont"/>
    <w:uiPriority w:val="99"/>
    <w:semiHidden/>
    <w:unhideWhenUsed/>
    <w:rsid w:val="00721A8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6364">
      <w:bodyDiv w:val="1"/>
      <w:marLeft w:val="0"/>
      <w:marRight w:val="0"/>
      <w:marTop w:val="0"/>
      <w:marBottom w:val="0"/>
      <w:divBdr>
        <w:top w:val="none" w:sz="0" w:space="0" w:color="auto"/>
        <w:left w:val="none" w:sz="0" w:space="0" w:color="auto"/>
        <w:bottom w:val="none" w:sz="0" w:space="0" w:color="auto"/>
        <w:right w:val="none" w:sz="0" w:space="0" w:color="auto"/>
      </w:divBdr>
      <w:divsChild>
        <w:div w:id="504518992">
          <w:marLeft w:val="480"/>
          <w:marRight w:val="0"/>
          <w:marTop w:val="0"/>
          <w:marBottom w:val="0"/>
          <w:divBdr>
            <w:top w:val="none" w:sz="0" w:space="0" w:color="auto"/>
            <w:left w:val="none" w:sz="0" w:space="0" w:color="auto"/>
            <w:bottom w:val="none" w:sz="0" w:space="0" w:color="auto"/>
            <w:right w:val="none" w:sz="0" w:space="0" w:color="auto"/>
          </w:divBdr>
          <w:divsChild>
            <w:div w:id="14581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3512">
      <w:bodyDiv w:val="1"/>
      <w:marLeft w:val="0"/>
      <w:marRight w:val="0"/>
      <w:marTop w:val="0"/>
      <w:marBottom w:val="0"/>
      <w:divBdr>
        <w:top w:val="none" w:sz="0" w:space="0" w:color="auto"/>
        <w:left w:val="none" w:sz="0" w:space="0" w:color="auto"/>
        <w:bottom w:val="none" w:sz="0" w:space="0" w:color="auto"/>
        <w:right w:val="none" w:sz="0" w:space="0" w:color="auto"/>
      </w:divBdr>
      <w:divsChild>
        <w:div w:id="1011374280">
          <w:marLeft w:val="480"/>
          <w:marRight w:val="0"/>
          <w:marTop w:val="0"/>
          <w:marBottom w:val="0"/>
          <w:divBdr>
            <w:top w:val="none" w:sz="0" w:space="0" w:color="auto"/>
            <w:left w:val="none" w:sz="0" w:space="0" w:color="auto"/>
            <w:bottom w:val="none" w:sz="0" w:space="0" w:color="auto"/>
            <w:right w:val="none" w:sz="0" w:space="0" w:color="auto"/>
          </w:divBdr>
          <w:divsChild>
            <w:div w:id="177670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3786">
      <w:bodyDiv w:val="1"/>
      <w:marLeft w:val="0"/>
      <w:marRight w:val="0"/>
      <w:marTop w:val="0"/>
      <w:marBottom w:val="0"/>
      <w:divBdr>
        <w:top w:val="none" w:sz="0" w:space="0" w:color="auto"/>
        <w:left w:val="none" w:sz="0" w:space="0" w:color="auto"/>
        <w:bottom w:val="none" w:sz="0" w:space="0" w:color="auto"/>
        <w:right w:val="none" w:sz="0" w:space="0" w:color="auto"/>
      </w:divBdr>
      <w:divsChild>
        <w:div w:id="851919717">
          <w:marLeft w:val="480"/>
          <w:marRight w:val="0"/>
          <w:marTop w:val="0"/>
          <w:marBottom w:val="0"/>
          <w:divBdr>
            <w:top w:val="none" w:sz="0" w:space="0" w:color="auto"/>
            <w:left w:val="none" w:sz="0" w:space="0" w:color="auto"/>
            <w:bottom w:val="none" w:sz="0" w:space="0" w:color="auto"/>
            <w:right w:val="none" w:sz="0" w:space="0" w:color="auto"/>
          </w:divBdr>
          <w:divsChild>
            <w:div w:id="8592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78649">
      <w:bodyDiv w:val="1"/>
      <w:marLeft w:val="0"/>
      <w:marRight w:val="0"/>
      <w:marTop w:val="0"/>
      <w:marBottom w:val="0"/>
      <w:divBdr>
        <w:top w:val="none" w:sz="0" w:space="0" w:color="auto"/>
        <w:left w:val="none" w:sz="0" w:space="0" w:color="auto"/>
        <w:bottom w:val="none" w:sz="0" w:space="0" w:color="auto"/>
        <w:right w:val="none" w:sz="0" w:space="0" w:color="auto"/>
      </w:divBdr>
      <w:divsChild>
        <w:div w:id="237135439">
          <w:marLeft w:val="480"/>
          <w:marRight w:val="0"/>
          <w:marTop w:val="0"/>
          <w:marBottom w:val="0"/>
          <w:divBdr>
            <w:top w:val="none" w:sz="0" w:space="0" w:color="auto"/>
            <w:left w:val="none" w:sz="0" w:space="0" w:color="auto"/>
            <w:bottom w:val="none" w:sz="0" w:space="0" w:color="auto"/>
            <w:right w:val="none" w:sz="0" w:space="0" w:color="auto"/>
          </w:divBdr>
          <w:divsChild>
            <w:div w:id="11734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52597">
      <w:bodyDiv w:val="1"/>
      <w:marLeft w:val="0"/>
      <w:marRight w:val="0"/>
      <w:marTop w:val="0"/>
      <w:marBottom w:val="0"/>
      <w:divBdr>
        <w:top w:val="none" w:sz="0" w:space="0" w:color="auto"/>
        <w:left w:val="none" w:sz="0" w:space="0" w:color="auto"/>
        <w:bottom w:val="none" w:sz="0" w:space="0" w:color="auto"/>
        <w:right w:val="none" w:sz="0" w:space="0" w:color="auto"/>
      </w:divBdr>
      <w:divsChild>
        <w:div w:id="1323774430">
          <w:marLeft w:val="480"/>
          <w:marRight w:val="0"/>
          <w:marTop w:val="0"/>
          <w:marBottom w:val="0"/>
          <w:divBdr>
            <w:top w:val="none" w:sz="0" w:space="0" w:color="auto"/>
            <w:left w:val="none" w:sz="0" w:space="0" w:color="auto"/>
            <w:bottom w:val="none" w:sz="0" w:space="0" w:color="auto"/>
            <w:right w:val="none" w:sz="0" w:space="0" w:color="auto"/>
          </w:divBdr>
          <w:divsChild>
            <w:div w:id="5770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7066">
      <w:bodyDiv w:val="1"/>
      <w:marLeft w:val="0"/>
      <w:marRight w:val="0"/>
      <w:marTop w:val="0"/>
      <w:marBottom w:val="0"/>
      <w:divBdr>
        <w:top w:val="none" w:sz="0" w:space="0" w:color="auto"/>
        <w:left w:val="none" w:sz="0" w:space="0" w:color="auto"/>
        <w:bottom w:val="none" w:sz="0" w:space="0" w:color="auto"/>
        <w:right w:val="none" w:sz="0" w:space="0" w:color="auto"/>
      </w:divBdr>
      <w:divsChild>
        <w:div w:id="645554998">
          <w:marLeft w:val="480"/>
          <w:marRight w:val="0"/>
          <w:marTop w:val="0"/>
          <w:marBottom w:val="0"/>
          <w:divBdr>
            <w:top w:val="none" w:sz="0" w:space="0" w:color="auto"/>
            <w:left w:val="none" w:sz="0" w:space="0" w:color="auto"/>
            <w:bottom w:val="none" w:sz="0" w:space="0" w:color="auto"/>
            <w:right w:val="none" w:sz="0" w:space="0" w:color="auto"/>
          </w:divBdr>
          <w:divsChild>
            <w:div w:id="131741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5139">
      <w:bodyDiv w:val="1"/>
      <w:marLeft w:val="0"/>
      <w:marRight w:val="0"/>
      <w:marTop w:val="0"/>
      <w:marBottom w:val="0"/>
      <w:divBdr>
        <w:top w:val="none" w:sz="0" w:space="0" w:color="auto"/>
        <w:left w:val="none" w:sz="0" w:space="0" w:color="auto"/>
        <w:bottom w:val="none" w:sz="0" w:space="0" w:color="auto"/>
        <w:right w:val="none" w:sz="0" w:space="0" w:color="auto"/>
      </w:divBdr>
      <w:divsChild>
        <w:div w:id="306711794">
          <w:marLeft w:val="480"/>
          <w:marRight w:val="0"/>
          <w:marTop w:val="0"/>
          <w:marBottom w:val="0"/>
          <w:divBdr>
            <w:top w:val="none" w:sz="0" w:space="0" w:color="auto"/>
            <w:left w:val="none" w:sz="0" w:space="0" w:color="auto"/>
            <w:bottom w:val="none" w:sz="0" w:space="0" w:color="auto"/>
            <w:right w:val="none" w:sz="0" w:space="0" w:color="auto"/>
          </w:divBdr>
          <w:divsChild>
            <w:div w:id="16656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9218">
      <w:bodyDiv w:val="1"/>
      <w:marLeft w:val="0"/>
      <w:marRight w:val="0"/>
      <w:marTop w:val="0"/>
      <w:marBottom w:val="0"/>
      <w:divBdr>
        <w:top w:val="none" w:sz="0" w:space="0" w:color="auto"/>
        <w:left w:val="none" w:sz="0" w:space="0" w:color="auto"/>
        <w:bottom w:val="none" w:sz="0" w:space="0" w:color="auto"/>
        <w:right w:val="none" w:sz="0" w:space="0" w:color="auto"/>
      </w:divBdr>
      <w:divsChild>
        <w:div w:id="257372131">
          <w:marLeft w:val="480"/>
          <w:marRight w:val="0"/>
          <w:marTop w:val="0"/>
          <w:marBottom w:val="0"/>
          <w:divBdr>
            <w:top w:val="none" w:sz="0" w:space="0" w:color="auto"/>
            <w:left w:val="none" w:sz="0" w:space="0" w:color="auto"/>
            <w:bottom w:val="none" w:sz="0" w:space="0" w:color="auto"/>
            <w:right w:val="none" w:sz="0" w:space="0" w:color="auto"/>
          </w:divBdr>
          <w:divsChild>
            <w:div w:id="20807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3068">
      <w:bodyDiv w:val="1"/>
      <w:marLeft w:val="0"/>
      <w:marRight w:val="0"/>
      <w:marTop w:val="0"/>
      <w:marBottom w:val="0"/>
      <w:divBdr>
        <w:top w:val="none" w:sz="0" w:space="0" w:color="auto"/>
        <w:left w:val="none" w:sz="0" w:space="0" w:color="auto"/>
        <w:bottom w:val="none" w:sz="0" w:space="0" w:color="auto"/>
        <w:right w:val="none" w:sz="0" w:space="0" w:color="auto"/>
      </w:divBdr>
      <w:divsChild>
        <w:div w:id="638658094">
          <w:marLeft w:val="480"/>
          <w:marRight w:val="0"/>
          <w:marTop w:val="0"/>
          <w:marBottom w:val="0"/>
          <w:divBdr>
            <w:top w:val="none" w:sz="0" w:space="0" w:color="auto"/>
            <w:left w:val="none" w:sz="0" w:space="0" w:color="auto"/>
            <w:bottom w:val="none" w:sz="0" w:space="0" w:color="auto"/>
            <w:right w:val="none" w:sz="0" w:space="0" w:color="auto"/>
          </w:divBdr>
          <w:divsChild>
            <w:div w:id="12587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33168">
      <w:bodyDiv w:val="1"/>
      <w:marLeft w:val="0"/>
      <w:marRight w:val="0"/>
      <w:marTop w:val="0"/>
      <w:marBottom w:val="0"/>
      <w:divBdr>
        <w:top w:val="none" w:sz="0" w:space="0" w:color="auto"/>
        <w:left w:val="none" w:sz="0" w:space="0" w:color="auto"/>
        <w:bottom w:val="none" w:sz="0" w:space="0" w:color="auto"/>
        <w:right w:val="none" w:sz="0" w:space="0" w:color="auto"/>
      </w:divBdr>
      <w:divsChild>
        <w:div w:id="64228094">
          <w:marLeft w:val="480"/>
          <w:marRight w:val="0"/>
          <w:marTop w:val="0"/>
          <w:marBottom w:val="0"/>
          <w:divBdr>
            <w:top w:val="none" w:sz="0" w:space="0" w:color="auto"/>
            <w:left w:val="none" w:sz="0" w:space="0" w:color="auto"/>
            <w:bottom w:val="none" w:sz="0" w:space="0" w:color="auto"/>
            <w:right w:val="none" w:sz="0" w:space="0" w:color="auto"/>
          </w:divBdr>
          <w:divsChild>
            <w:div w:id="13491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42228">
      <w:bodyDiv w:val="1"/>
      <w:marLeft w:val="0"/>
      <w:marRight w:val="0"/>
      <w:marTop w:val="0"/>
      <w:marBottom w:val="0"/>
      <w:divBdr>
        <w:top w:val="none" w:sz="0" w:space="0" w:color="auto"/>
        <w:left w:val="none" w:sz="0" w:space="0" w:color="auto"/>
        <w:bottom w:val="none" w:sz="0" w:space="0" w:color="auto"/>
        <w:right w:val="none" w:sz="0" w:space="0" w:color="auto"/>
      </w:divBdr>
      <w:divsChild>
        <w:div w:id="582177693">
          <w:marLeft w:val="480"/>
          <w:marRight w:val="0"/>
          <w:marTop w:val="0"/>
          <w:marBottom w:val="0"/>
          <w:divBdr>
            <w:top w:val="none" w:sz="0" w:space="0" w:color="auto"/>
            <w:left w:val="none" w:sz="0" w:space="0" w:color="auto"/>
            <w:bottom w:val="none" w:sz="0" w:space="0" w:color="auto"/>
            <w:right w:val="none" w:sz="0" w:space="0" w:color="auto"/>
          </w:divBdr>
          <w:divsChild>
            <w:div w:id="9591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49579">
      <w:bodyDiv w:val="1"/>
      <w:marLeft w:val="0"/>
      <w:marRight w:val="0"/>
      <w:marTop w:val="0"/>
      <w:marBottom w:val="0"/>
      <w:divBdr>
        <w:top w:val="none" w:sz="0" w:space="0" w:color="auto"/>
        <w:left w:val="none" w:sz="0" w:space="0" w:color="auto"/>
        <w:bottom w:val="none" w:sz="0" w:space="0" w:color="auto"/>
        <w:right w:val="none" w:sz="0" w:space="0" w:color="auto"/>
      </w:divBdr>
      <w:divsChild>
        <w:div w:id="1790663505">
          <w:marLeft w:val="480"/>
          <w:marRight w:val="0"/>
          <w:marTop w:val="0"/>
          <w:marBottom w:val="0"/>
          <w:divBdr>
            <w:top w:val="none" w:sz="0" w:space="0" w:color="auto"/>
            <w:left w:val="none" w:sz="0" w:space="0" w:color="auto"/>
            <w:bottom w:val="none" w:sz="0" w:space="0" w:color="auto"/>
            <w:right w:val="none" w:sz="0" w:space="0" w:color="auto"/>
          </w:divBdr>
          <w:divsChild>
            <w:div w:id="9573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166/engagement.v5i2.457" TargetMode="External"/><Relationship Id="rId13" Type="http://schemas.openxmlformats.org/officeDocument/2006/relationships/hyperlink" Target="https://www.climatelinks.org/resources/climate-risk-profile-eastern-and-southern-caribbean-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sis.org/analysis/thirty-years-later-grenada-emerges-leader-sustainable-development" TargetMode="External"/><Relationship Id="rId12" Type="http://schemas.openxmlformats.org/officeDocument/2006/relationships/hyperlink" Target="https://sdgs.un.org/publications/climate-change-adaptation-grenada-water-resources-coastal-ecosystems-and-renewabl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fp.org/publications/caribbean-covid-19-food-security-livelihoods-impact-survey-round-4-february-2022" TargetMode="External"/><Relationship Id="rId1" Type="http://schemas.openxmlformats.org/officeDocument/2006/relationships/customXml" Target="../customXml/item1.xml"/><Relationship Id="rId6" Type="http://schemas.openxmlformats.org/officeDocument/2006/relationships/hyperlink" Target="https://www.cardi.org/country-offices/grenada/" TargetMode="External"/><Relationship Id="rId11" Type="http://schemas.openxmlformats.org/officeDocument/2006/relationships/hyperlink" Target="https://reliefweb.int/report/grenada/grenada-country-profile-july-2020" TargetMode="External"/><Relationship Id="rId5" Type="http://schemas.openxmlformats.org/officeDocument/2006/relationships/hyperlink" Target="https://www.adaptation-undp.org/resources/project-brief-fact-sheet/grenada-hydroponics-pilot-project" TargetMode="External"/><Relationship Id="rId15" Type="http://schemas.openxmlformats.org/officeDocument/2006/relationships/hyperlink" Target="https://databank.worldbank.org/source/world-development-indicators" TargetMode="External"/><Relationship Id="rId10" Type="http://schemas.openxmlformats.org/officeDocument/2006/relationships/hyperlink" Target="https://www.jstor.org/stable/27866450" TargetMode="External"/><Relationship Id="rId4" Type="http://schemas.openxmlformats.org/officeDocument/2006/relationships/webSettings" Target="webSettings.xml"/><Relationship Id="rId9" Type="http://schemas.openxmlformats.org/officeDocument/2006/relationships/hyperlink" Target="https://www.greenagefarms.com/" TargetMode="External"/><Relationship Id="rId14" Type="http://schemas.openxmlformats.org/officeDocument/2006/relationships/hyperlink" Target="http://www.statoids.com/ug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q59uplKuKJQpHvRqiZrjDm511Q==">AMUW2mUOmGkGEj4E5Vd1uOSZWTMMESN0LrAES0csm3dbr/4ed8MY/ZmK8KAZYKLtyskYJ334PB3s98TQZna1GnyyLL5z8v0caeP70uo0pLgosLSd8kE/bYSk5lS1VH+hvhrWVuhfCwra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2118</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Huntley Compton</dc:creator>
  <cp:lastModifiedBy>J. Huntley Compton</cp:lastModifiedBy>
  <cp:revision>16</cp:revision>
  <dcterms:created xsi:type="dcterms:W3CDTF">2022-12-01T21:05:00Z</dcterms:created>
  <dcterms:modified xsi:type="dcterms:W3CDTF">2022-12-04T20:37:00Z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id="a8eQ1JAy"/&gt;&lt;style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